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F6DF0" w14:textId="42A1C382" w:rsidR="0092721B" w:rsidRDefault="00783F67">
      <w:pPr>
        <w:spacing w:before="152"/>
        <w:ind w:left="130"/>
        <w:rPr>
          <w:b/>
          <w:sz w:val="17"/>
          <w:lang w:eastAsia="ja-JP"/>
        </w:rPr>
      </w:pPr>
      <w:r>
        <w:rPr>
          <w:b/>
          <w:noProof/>
          <w:sz w:val="17"/>
          <w:lang w:eastAsia="ja-JP"/>
        </w:rPr>
        <mc:AlternateContent>
          <mc:Choice Requires="wps">
            <w:drawing>
              <wp:anchor distT="0" distB="0" distL="114300" distR="114300" simplePos="0" relativeHeight="487603712" behindDoc="0" locked="0" layoutInCell="1" allowOverlap="1" wp14:anchorId="52D61C2E" wp14:editId="23964580">
                <wp:simplePos x="0" y="0"/>
                <wp:positionH relativeFrom="column">
                  <wp:posOffset>80682</wp:posOffset>
                </wp:positionH>
                <wp:positionV relativeFrom="paragraph">
                  <wp:posOffset>33767</wp:posOffset>
                </wp:positionV>
                <wp:extent cx="6674448" cy="761253"/>
                <wp:effectExtent l="0" t="0" r="19050" b="13970"/>
                <wp:wrapNone/>
                <wp:docPr id="73" name="テキスト ボックス 73"/>
                <wp:cNvGraphicFramePr/>
                <a:graphic xmlns:a="http://schemas.openxmlformats.org/drawingml/2006/main">
                  <a:graphicData uri="http://schemas.microsoft.com/office/word/2010/wordprocessingShape">
                    <wps:wsp>
                      <wps:cNvSpPr txBox="1"/>
                      <wps:spPr>
                        <a:xfrm>
                          <a:off x="0" y="0"/>
                          <a:ext cx="6674448" cy="761253"/>
                        </a:xfrm>
                        <a:prstGeom prst="rect">
                          <a:avLst/>
                        </a:prstGeom>
                        <a:solidFill>
                          <a:schemeClr val="lt1"/>
                        </a:solidFill>
                        <a:ln w="6350">
                          <a:solidFill>
                            <a:prstClr val="black"/>
                          </a:solidFill>
                        </a:ln>
                      </wps:spPr>
                      <wps:txbx>
                        <w:txbxContent>
                          <w:p w14:paraId="2B90D62F" w14:textId="7D108CCE" w:rsidR="00783F67" w:rsidRDefault="00783F67">
                            <w:pPr>
                              <w:rPr>
                                <w:rFonts w:hint="eastAsia"/>
                                <w:lang w:eastAsia="ja-JP"/>
                              </w:rPr>
                            </w:pPr>
                            <w:r>
                              <w:rPr>
                                <w:rFonts w:ascii="ＭＳ ゴシック" w:eastAsia="ＭＳ ゴシック" w:hAnsi="ＭＳ ゴシック" w:cs="ＭＳ ゴシック" w:hint="eastAsia"/>
                                <w:lang w:eastAsia="ja-JP"/>
                              </w:rPr>
                              <w:t>【</w:t>
                            </w:r>
                            <w:r>
                              <w:rPr>
                                <w:rFonts w:hint="eastAsia"/>
                                <w:lang w:eastAsia="ja-JP"/>
                              </w:rPr>
                              <w:t>D</w:t>
                            </w:r>
                            <w:r>
                              <w:rPr>
                                <w:lang w:eastAsia="ja-JP"/>
                              </w:rPr>
                              <w:t>eepL</w:t>
                            </w:r>
                            <w:r>
                              <w:rPr>
                                <w:rFonts w:ascii="ＭＳ ゴシック" w:eastAsia="ＭＳ ゴシック" w:hAnsi="ＭＳ ゴシック" w:cs="ＭＳ ゴシック" w:hint="eastAsia"/>
                                <w:lang w:eastAsia="ja-JP"/>
                              </w:rPr>
                              <w:t>による機械翻訳】</w:t>
                            </w:r>
                          </w:p>
                          <w:p w14:paraId="2999F506" w14:textId="03B4F32B" w:rsidR="00783F67" w:rsidRDefault="00783F67">
                            <w:pPr>
                              <w:rPr>
                                <w:lang w:eastAsia="ja-JP"/>
                              </w:rPr>
                            </w:pPr>
                            <w:r>
                              <w:rPr>
                                <w:rFonts w:ascii="ＭＳ ゴシック" w:eastAsia="ＭＳ ゴシック" w:hAnsi="ＭＳ ゴシック" w:cs="ＭＳ ゴシック" w:hint="eastAsia"/>
                                <w:lang w:eastAsia="ja-JP"/>
                              </w:rPr>
                              <w:t>原文はこちら：</w:t>
                            </w:r>
                            <w:r>
                              <w:rPr>
                                <w:lang w:eastAsia="ja-JP"/>
                              </w:rPr>
                              <w:t xml:space="preserve"> </w:t>
                            </w:r>
                            <w:hyperlink r:id="rId7" w:history="1">
                              <w:r w:rsidRPr="00522F99">
                                <w:rPr>
                                  <w:rStyle w:val="ac"/>
                                  <w:lang w:eastAsia="ja-JP"/>
                                </w:rPr>
                                <w:t>https://www.hilarispublisher.com/abstract/determination-of-the-effectiveness-of-chlorine-dioxide-in-the-treatment-of-covid-19-67319.html</w:t>
                              </w:r>
                            </w:hyperlink>
                          </w:p>
                          <w:p w14:paraId="2FC7B64D" w14:textId="77777777" w:rsidR="00783F67" w:rsidRDefault="00783F67">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D61C2E" id="_x0000_t202" coordsize="21600,21600" o:spt="202" path="m,l,21600r21600,l21600,xe">
                <v:stroke joinstyle="miter"/>
                <v:path gradientshapeok="t" o:connecttype="rect"/>
              </v:shapetype>
              <v:shape id="テキスト ボックス 73" o:spid="_x0000_s1026" type="#_x0000_t202" style="position:absolute;left:0;text-align:left;margin-left:6.35pt;margin-top:2.65pt;width:525.55pt;height:59.95pt;z-index:4876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" fillcolor="white [3201]" strokeweight=".5pt">
                <v:textbox>
                  <w:txbxContent>
                    <w:p w14:paraId="2B90D62F" w14:textId="7D108CCE" w:rsidR="00783F67" w:rsidRDefault="00783F67">
                      <w:pPr>
                        <w:rPr>
                          <w:rFonts w:hint="eastAsia"/>
                          <w:lang w:eastAsia="ja-JP"/>
                        </w:rPr>
                      </w:pPr>
                      <w:r>
                        <w:rPr>
                          <w:rFonts w:ascii="ＭＳ ゴシック" w:eastAsia="ＭＳ ゴシック" w:hAnsi="ＭＳ ゴシック" w:cs="ＭＳ ゴシック" w:hint="eastAsia"/>
                          <w:lang w:eastAsia="ja-JP"/>
                        </w:rPr>
                        <w:t>【</w:t>
                      </w:r>
                      <w:r>
                        <w:rPr>
                          <w:rFonts w:hint="eastAsia"/>
                          <w:lang w:eastAsia="ja-JP"/>
                        </w:rPr>
                        <w:t>D</w:t>
                      </w:r>
                      <w:r>
                        <w:rPr>
                          <w:lang w:eastAsia="ja-JP"/>
                        </w:rPr>
                        <w:t>eepL</w:t>
                      </w:r>
                      <w:r>
                        <w:rPr>
                          <w:rFonts w:ascii="ＭＳ ゴシック" w:eastAsia="ＭＳ ゴシック" w:hAnsi="ＭＳ ゴシック" w:cs="ＭＳ ゴシック" w:hint="eastAsia"/>
                          <w:lang w:eastAsia="ja-JP"/>
                        </w:rPr>
                        <w:t>による機械翻訳】</w:t>
                      </w:r>
                    </w:p>
                    <w:p w14:paraId="2999F506" w14:textId="03B4F32B" w:rsidR="00783F67" w:rsidRDefault="00783F67">
                      <w:pPr>
                        <w:rPr>
                          <w:lang w:eastAsia="ja-JP"/>
                        </w:rPr>
                      </w:pPr>
                      <w:r>
                        <w:rPr>
                          <w:rFonts w:ascii="ＭＳ ゴシック" w:eastAsia="ＭＳ ゴシック" w:hAnsi="ＭＳ ゴシック" w:cs="ＭＳ ゴシック" w:hint="eastAsia"/>
                          <w:lang w:eastAsia="ja-JP"/>
                        </w:rPr>
                        <w:t>原文はこちら：</w:t>
                      </w:r>
                      <w:r>
                        <w:rPr>
                          <w:lang w:eastAsia="ja-JP"/>
                        </w:rPr>
                        <w:t xml:space="preserve"> </w:t>
                      </w:r>
                      <w:hyperlink r:id="rId8" w:history="1">
                        <w:r w:rsidRPr="00522F99">
                          <w:rPr>
                            <w:rStyle w:val="ac"/>
                            <w:lang w:eastAsia="ja-JP"/>
                          </w:rPr>
                          <w:t>https://www.hilarispublisher.com/abstract/determination-of-the-effectiveness-of-chlorine-dioxide-in-the-treatment-of-covid-19-67319.html</w:t>
                        </w:r>
                      </w:hyperlink>
                    </w:p>
                    <w:p w14:paraId="2FC7B64D" w14:textId="77777777" w:rsidR="00783F67" w:rsidRDefault="00783F67">
                      <w:pPr>
                        <w:rPr>
                          <w:lang w:eastAsia="ja-JP"/>
                        </w:rPr>
                      </w:pPr>
                    </w:p>
                  </w:txbxContent>
                </v:textbox>
              </v:shape>
            </w:pict>
          </mc:Fallback>
        </mc:AlternateContent>
      </w:r>
      <w:r w:rsidR="00D22738">
        <w:rPr>
          <w:b/>
          <w:w w:val="80"/>
          <w:sz w:val="17"/>
          <w:lang w:eastAsia="ja-JP"/>
        </w:rPr>
        <w:t>レビュー記事</w:t>
      </w:r>
    </w:p>
    <w:p w14:paraId="70094B01" w14:textId="77777777" w:rsidR="0092721B" w:rsidRDefault="00D22738">
      <w:pPr>
        <w:spacing w:before="33"/>
        <w:ind w:left="130"/>
        <w:rPr>
          <w:sz w:val="14"/>
          <w:lang w:eastAsia="ja-JP"/>
        </w:rPr>
      </w:pPr>
      <w:r>
        <w:rPr>
          <w:w w:val="85"/>
          <w:sz w:val="14"/>
          <w:lang w:eastAsia="ja-JP"/>
        </w:rPr>
        <w:t>第15巻：S2、2021年</w:t>
      </w:r>
    </w:p>
    <w:p w14:paraId="2F8F55C2" w14:textId="77777777" w:rsidR="0092721B" w:rsidRDefault="00D22738">
      <w:pPr>
        <w:spacing w:before="89"/>
        <w:ind w:right="120"/>
        <w:jc w:val="right"/>
        <w:rPr>
          <w:b/>
          <w:sz w:val="28"/>
        </w:rPr>
      </w:pPr>
      <w:r>
        <w:rPr>
          <w:lang w:eastAsia="ja-JP"/>
        </w:rPr>
        <w:br w:type="column"/>
      </w:r>
      <w:r>
        <w:rPr>
          <w:b/>
          <w:color w:val="49266C"/>
          <w:w w:val="80"/>
          <w:sz w:val="28"/>
        </w:rPr>
        <w:t>Journal of Molecular and Genetic</w:t>
      </w:r>
    </w:p>
    <w:p w14:paraId="28D9B8A3" w14:textId="77777777" w:rsidR="0092721B" w:rsidRDefault="00D22738">
      <w:pPr>
        <w:spacing w:before="78"/>
        <w:ind w:right="120"/>
        <w:jc w:val="right"/>
        <w:rPr>
          <w:b/>
          <w:sz w:val="28"/>
        </w:rPr>
      </w:pPr>
      <w:r>
        <w:rPr>
          <w:b/>
          <w:color w:val="49266C"/>
          <w:w w:val="90"/>
          <w:sz w:val="28"/>
        </w:rPr>
        <w:t>医学</w:t>
      </w:r>
    </w:p>
    <w:p w14:paraId="438D11CB" w14:textId="77777777" w:rsidR="0092721B" w:rsidRDefault="0092721B">
      <w:pPr>
        <w:jc w:val="right"/>
        <w:rPr>
          <w:sz w:val="28"/>
        </w:rPr>
        <w:sectPr w:rsidR="0092721B">
          <w:type w:val="continuous"/>
          <w:pgSz w:w="11910" w:h="16840"/>
          <w:pgMar w:top="760" w:right="440" w:bottom="280" w:left="720" w:header="720" w:footer="720" w:gutter="0"/>
          <w:cols w:num="2" w:space="720" w:equalWidth="0">
            <w:col w:w="1289" w:space="5446"/>
            <w:col w:w="4015"/>
          </w:cols>
        </w:sectPr>
      </w:pPr>
    </w:p>
    <w:p w14:paraId="15F064A7" w14:textId="77777777" w:rsidR="0092721B" w:rsidRDefault="0092721B">
      <w:pPr>
        <w:pStyle w:val="a3"/>
        <w:ind w:left="0" w:firstLine="0"/>
        <w:jc w:val="left"/>
        <w:rPr>
          <w:b/>
          <w:sz w:val="20"/>
        </w:rPr>
      </w:pPr>
    </w:p>
    <w:p w14:paraId="42520E38" w14:textId="2EF8D9B2" w:rsidR="0092721B" w:rsidRDefault="00D22738">
      <w:pPr>
        <w:pStyle w:val="a4"/>
        <w:spacing w:line="237" w:lineRule="auto"/>
        <w:rPr>
          <w:lang w:eastAsia="ja-JP"/>
        </w:rPr>
      </w:pPr>
      <w:r>
        <w:rPr>
          <w:w w:val="90"/>
          <w:lang w:eastAsia="ja-JP"/>
        </w:rPr>
        <w:t>COVID</w:t>
      </w:r>
      <w:r w:rsidR="00CA38E4">
        <w:rPr>
          <w:w w:val="90"/>
          <w:lang w:eastAsia="ja-JP"/>
        </w:rPr>
        <w:t>19</w:t>
      </w:r>
      <w:r>
        <w:rPr>
          <w:w w:val="90"/>
          <w:lang w:eastAsia="ja-JP"/>
        </w:rPr>
        <w:t>治療</w:t>
      </w:r>
      <w:r>
        <w:rPr>
          <w:w w:val="80"/>
          <w:lang w:eastAsia="ja-JP"/>
        </w:rPr>
        <w:t xml:space="preserve">における二酸化塩素の有効性の判定 </w:t>
      </w:r>
    </w:p>
    <w:p w14:paraId="60F852FB" w14:textId="77777777" w:rsidR="0092721B" w:rsidRDefault="008834D1">
      <w:pPr>
        <w:pStyle w:val="a3"/>
        <w:spacing w:before="10"/>
        <w:ind w:left="0" w:firstLine="0"/>
        <w:jc w:val="left"/>
        <w:rPr>
          <w:b/>
          <w:sz w:val="14"/>
          <w:lang w:eastAsia="ja-JP"/>
        </w:rPr>
      </w:pPr>
      <w:r>
        <w:pict w14:anchorId="1DB61E44">
          <v:shape id="docshape1" o:spid="_x0000_s1082" alt="" style="position:absolute;margin-left:42.55pt;margin-top:9.75pt;width:524.4pt;height:.1pt;z-index:-15728640;mso-wrap-edited:f;mso-width-percent:0;mso-height-percent:0;mso-wrap-distance-left:0;mso-wrap-distance-right:0;mso-position-horizontal-relative:page;mso-width-percent:0;mso-height-percent:0" coordsize="10488,1270" path="m,l10487,e" filled="f" strokecolor="#49266c" strokeweight=".5pt">
            <v:path arrowok="t" o:connecttype="custom" o:connectlocs="0,0;2147483646,0" o:connectangles="0,0"/>
            <w10:wrap type="topAndBottom" anchorx="page"/>
          </v:shape>
        </w:pict>
      </w:r>
    </w:p>
    <w:p w14:paraId="319462D1" w14:textId="77777777" w:rsidR="0092721B" w:rsidRDefault="00D22738">
      <w:pPr>
        <w:pStyle w:val="3"/>
        <w:spacing w:before="113" w:line="266" w:lineRule="auto"/>
        <w:ind w:right="396"/>
        <w:jc w:val="left"/>
        <w:rPr>
          <w:sz w:val="13"/>
        </w:rPr>
      </w:pPr>
      <w:r>
        <w:rPr>
          <w:w w:val="80"/>
        </w:rPr>
        <w:t>Insignares-Carrione Eduardo</w:t>
      </w:r>
      <w:r>
        <w:rPr>
          <w:w w:val="80"/>
          <w:position w:val="7"/>
          <w:sz w:val="13"/>
        </w:rPr>
        <w:t>1</w:t>
      </w:r>
      <w:r>
        <w:rPr>
          <w:w w:val="80"/>
        </w:rPr>
        <w:t>*、Bolano Gómez Blanca</w:t>
      </w:r>
      <w:r>
        <w:rPr>
          <w:w w:val="80"/>
          <w:position w:val="7"/>
          <w:sz w:val="13"/>
        </w:rPr>
        <w:t>2</w:t>
      </w:r>
      <w:r>
        <w:rPr>
          <w:w w:val="80"/>
        </w:rPr>
        <w:t>、Andrade Yohanny</w:t>
      </w:r>
      <w:r>
        <w:rPr>
          <w:w w:val="80"/>
          <w:position w:val="7"/>
          <w:sz w:val="13"/>
        </w:rPr>
        <w:t>3</w:t>
      </w:r>
      <w:r>
        <w:rPr>
          <w:w w:val="80"/>
        </w:rPr>
        <w:t>、Callisperis Patricia</w:t>
      </w:r>
      <w:r>
        <w:rPr>
          <w:w w:val="80"/>
          <w:position w:val="7"/>
          <w:sz w:val="13"/>
        </w:rPr>
        <w:t>4</w:t>
      </w:r>
      <w:r>
        <w:rPr>
          <w:w w:val="80"/>
        </w:rPr>
        <w:t>、Suxo Ana Maria</w:t>
      </w:r>
      <w:r>
        <w:rPr>
          <w:w w:val="80"/>
          <w:position w:val="7"/>
          <w:sz w:val="13"/>
        </w:rPr>
        <w:t>5</w:t>
      </w:r>
      <w:r>
        <w:rPr>
          <w:w w:val="80"/>
        </w:rPr>
        <w:t>、</w:t>
      </w:r>
      <w:r>
        <w:rPr>
          <w:w w:val="90"/>
        </w:rPr>
        <w:t>Arturo Bernardo Ajata San Martín</w:t>
      </w:r>
      <w:r>
        <w:rPr>
          <w:w w:val="90"/>
          <w:position w:val="7"/>
          <w:sz w:val="13"/>
        </w:rPr>
        <w:t>6</w:t>
      </w:r>
      <w:r>
        <w:rPr>
          <w:w w:val="90"/>
        </w:rPr>
        <w:t>、Camila Ostria Gonzales</w:t>
      </w:r>
      <w:r>
        <w:rPr>
          <w:w w:val="90"/>
          <w:position w:val="7"/>
          <w:sz w:val="13"/>
        </w:rPr>
        <w:t>7</w:t>
      </w:r>
    </w:p>
    <w:p w14:paraId="249FBA87" w14:textId="77777777" w:rsidR="0092721B" w:rsidRDefault="00D22738">
      <w:pPr>
        <w:spacing w:before="28"/>
        <w:ind w:left="130"/>
        <w:rPr>
          <w:i/>
          <w:sz w:val="18"/>
        </w:rPr>
      </w:pPr>
      <w:r>
        <w:rPr>
          <w:i/>
          <w:w w:val="80"/>
          <w:position w:val="6"/>
          <w:sz w:val="10"/>
        </w:rPr>
        <w:t>1</w:t>
      </w:r>
      <w:r>
        <w:rPr>
          <w:i/>
          <w:w w:val="80"/>
          <w:sz w:val="18"/>
        </w:rPr>
        <w:t xml:space="preserve">LVWG Global Research Director, Liechtensteiner Verein für Wissenschaft und Gesundheit, Liechtenstein, Switzerland </w:t>
      </w:r>
      <w:hyperlink r:id="rId9">
        <w:r>
          <w:rPr>
            <w:i/>
            <w:w w:val="80"/>
            <w:sz w:val="18"/>
          </w:rPr>
          <w:t>(</w:t>
        </w:r>
      </w:hyperlink>
      <w:r>
        <w:rPr>
          <w:i/>
          <w:w w:val="80"/>
          <w:sz w:val="18"/>
        </w:rPr>
        <w:t>https://orcid.org/0000-0001-9337-0884)</w:t>
      </w:r>
    </w:p>
    <w:p w14:paraId="1EC39547" w14:textId="77777777" w:rsidR="0092721B" w:rsidRDefault="00D22738">
      <w:pPr>
        <w:spacing w:before="9"/>
        <w:ind w:left="130"/>
        <w:rPr>
          <w:i/>
          <w:sz w:val="18"/>
          <w:lang w:eastAsia="ja-JP"/>
        </w:rPr>
      </w:pPr>
      <w:r>
        <w:rPr>
          <w:i/>
          <w:w w:val="80"/>
          <w:sz w:val="18"/>
          <w:lang w:eastAsia="ja-JP"/>
        </w:rPr>
        <w:t>2コロンビア、ジェネシス財団、研究部門ディレクター</w:t>
      </w:r>
    </w:p>
    <w:p w14:paraId="50427C2A" w14:textId="77777777" w:rsidR="0092721B" w:rsidRDefault="00D22738">
      <w:pPr>
        <w:spacing w:before="9"/>
        <w:ind w:left="130"/>
        <w:rPr>
          <w:i/>
          <w:sz w:val="18"/>
          <w:lang w:eastAsia="ja-JP"/>
        </w:rPr>
      </w:pPr>
      <w:r>
        <w:rPr>
          <w:i/>
          <w:w w:val="80"/>
          <w:position w:val="6"/>
          <w:sz w:val="10"/>
          <w:lang w:eastAsia="ja-JP"/>
        </w:rPr>
        <w:t>3</w:t>
      </w:r>
      <w:r>
        <w:rPr>
          <w:i/>
          <w:w w:val="80"/>
          <w:sz w:val="18"/>
          <w:lang w:eastAsia="ja-JP"/>
        </w:rPr>
        <w:t>生命倫理医学専門家、がん緩和ケア専門家、スペイン</w:t>
      </w:r>
    </w:p>
    <w:p w14:paraId="21A23A04" w14:textId="77777777" w:rsidR="0092721B" w:rsidRDefault="00D22738">
      <w:pPr>
        <w:spacing w:before="9"/>
        <w:ind w:left="130"/>
        <w:rPr>
          <w:i/>
          <w:sz w:val="18"/>
          <w:lang w:eastAsia="ja-JP"/>
        </w:rPr>
      </w:pPr>
      <w:r>
        <w:rPr>
          <w:i/>
          <w:w w:val="80"/>
          <w:position w:val="6"/>
          <w:sz w:val="10"/>
          <w:lang w:eastAsia="ja-JP"/>
        </w:rPr>
        <w:t>4</w:t>
      </w:r>
      <w:r>
        <w:rPr>
          <w:i/>
          <w:w w:val="80"/>
          <w:sz w:val="18"/>
          <w:lang w:eastAsia="ja-JP"/>
        </w:rPr>
        <w:t>ボリビア、ラパス、スペインの南診療所整形外科・外傷学専門医の院長</w:t>
      </w:r>
    </w:p>
    <w:p w14:paraId="67986E5D" w14:textId="77777777" w:rsidR="0092721B" w:rsidRDefault="00D22738">
      <w:pPr>
        <w:spacing w:before="9"/>
        <w:ind w:left="130"/>
        <w:rPr>
          <w:i/>
          <w:sz w:val="18"/>
          <w:lang w:eastAsia="ja-JP"/>
        </w:rPr>
      </w:pPr>
      <w:r>
        <w:rPr>
          <w:i/>
          <w:w w:val="80"/>
          <w:position w:val="6"/>
          <w:sz w:val="10"/>
          <w:lang w:eastAsia="ja-JP"/>
        </w:rPr>
        <w:t>5</w:t>
      </w:r>
      <w:r>
        <w:rPr>
          <w:i/>
          <w:w w:val="80"/>
          <w:sz w:val="18"/>
          <w:lang w:eastAsia="ja-JP"/>
        </w:rPr>
        <w:t>MSc、トレーニング・リサーチセンター-ボリビア・トゥデイ協会、疫学者、サウス・クリニック、ラパス、ボリビア、スペイン</w:t>
      </w:r>
    </w:p>
    <w:p w14:paraId="5DCEC77D" w14:textId="77777777" w:rsidR="0092721B" w:rsidRDefault="00D22738">
      <w:pPr>
        <w:spacing w:before="9"/>
        <w:ind w:left="130"/>
        <w:rPr>
          <w:i/>
          <w:sz w:val="18"/>
        </w:rPr>
      </w:pPr>
      <w:r>
        <w:rPr>
          <w:i/>
          <w:w w:val="80"/>
          <w:position w:val="6"/>
          <w:sz w:val="10"/>
        </w:rPr>
        <w:t>6</w:t>
      </w:r>
      <w:r>
        <w:rPr>
          <w:i/>
          <w:w w:val="80"/>
          <w:sz w:val="18"/>
        </w:rPr>
        <w:t>Internal Medicine specialist, C Sorata 1146 V Victory, La Paz, Bolivia, Spain</w:t>
      </w:r>
    </w:p>
    <w:p w14:paraId="60C80137" w14:textId="77777777" w:rsidR="0092721B" w:rsidRDefault="00D22738">
      <w:pPr>
        <w:spacing w:before="9"/>
        <w:ind w:left="130"/>
        <w:rPr>
          <w:i/>
          <w:sz w:val="18"/>
          <w:lang w:eastAsia="ja-JP"/>
        </w:rPr>
      </w:pPr>
      <w:r>
        <w:rPr>
          <w:i/>
          <w:w w:val="80"/>
          <w:position w:val="6"/>
          <w:sz w:val="10"/>
          <w:lang w:eastAsia="ja-JP"/>
        </w:rPr>
        <w:t>7</w:t>
      </w:r>
      <w:r>
        <w:rPr>
          <w:i/>
          <w:w w:val="80"/>
          <w:sz w:val="18"/>
          <w:lang w:eastAsia="ja-JP"/>
        </w:rPr>
        <w:t>ラパス（ボリビア、スペイン） (linkedin.com/in/camila-ostria-gonzales-96bb0514a)</w:t>
      </w:r>
    </w:p>
    <w:p w14:paraId="73E39004" w14:textId="77777777" w:rsidR="0092721B" w:rsidRDefault="0092721B">
      <w:pPr>
        <w:pStyle w:val="a3"/>
        <w:spacing w:before="10"/>
        <w:ind w:left="0" w:firstLine="0"/>
        <w:jc w:val="left"/>
        <w:rPr>
          <w:i/>
          <w:sz w:val="26"/>
          <w:lang w:eastAsia="ja-JP"/>
        </w:rPr>
      </w:pPr>
    </w:p>
    <w:p w14:paraId="7C18DF03" w14:textId="77777777" w:rsidR="0092721B" w:rsidRDefault="00D22738">
      <w:pPr>
        <w:ind w:left="132"/>
        <w:rPr>
          <w:b/>
          <w:sz w:val="24"/>
          <w:lang w:eastAsia="ja-JP"/>
        </w:rPr>
      </w:pPr>
      <w:r>
        <w:rPr>
          <w:b/>
          <w:sz w:val="24"/>
          <w:lang w:eastAsia="ja-JP"/>
        </w:rPr>
        <w:t>アブストラクト</w:t>
      </w:r>
    </w:p>
    <w:p w14:paraId="61307624" w14:textId="77777777" w:rsidR="0092721B" w:rsidRDefault="00D22738">
      <w:pPr>
        <w:spacing w:before="115"/>
        <w:ind w:left="132"/>
        <w:rPr>
          <w:sz w:val="20"/>
          <w:lang w:eastAsia="ja-JP"/>
        </w:rPr>
      </w:pPr>
      <w:r>
        <w:rPr>
          <w:b/>
          <w:color w:val="202020"/>
          <w:w w:val="80"/>
          <w:sz w:val="20"/>
          <w:lang w:eastAsia="ja-JP"/>
        </w:rPr>
        <w:t>はじめに</w:t>
      </w:r>
      <w:r>
        <w:rPr>
          <w:color w:val="202020"/>
          <w:w w:val="80"/>
          <w:sz w:val="20"/>
          <w:lang w:eastAsia="ja-JP"/>
        </w:rPr>
        <w:t>このレビューの目的は、COVID 19 の治療における経口二酸化塩素の有効性を判断することである。</w:t>
      </w:r>
    </w:p>
    <w:p w14:paraId="1B312D41" w14:textId="77777777" w:rsidR="0092721B" w:rsidRDefault="00D22738">
      <w:pPr>
        <w:spacing w:before="123" w:line="249" w:lineRule="auto"/>
        <w:ind w:left="132" w:right="122"/>
        <w:jc w:val="both"/>
        <w:rPr>
          <w:sz w:val="20"/>
          <w:lang w:eastAsia="ja-JP"/>
        </w:rPr>
      </w:pPr>
      <w:r>
        <w:rPr>
          <w:b/>
          <w:color w:val="202020"/>
          <w:w w:val="80"/>
          <w:sz w:val="20"/>
          <w:lang w:eastAsia="ja-JP"/>
        </w:rPr>
        <w:t>方法。</w:t>
      </w:r>
      <w:r>
        <w:rPr>
          <w:color w:val="202020"/>
          <w:w w:val="80"/>
          <w:sz w:val="20"/>
          <w:lang w:eastAsia="ja-JP"/>
        </w:rPr>
        <w:t>ウイルスに対する二酸化塩素の作用機序、水溶性二酸化塩素の経口摂取とその毒性に関する研究をレビューし、</w:t>
      </w:r>
      <w:r>
        <w:rPr>
          <w:color w:val="202020"/>
          <w:w w:val="85"/>
          <w:sz w:val="20"/>
          <w:lang w:eastAsia="ja-JP"/>
        </w:rPr>
        <w:t>COVID19感染が活発な</w:t>
      </w:r>
      <w:r>
        <w:rPr>
          <w:color w:val="202020"/>
          <w:w w:val="80"/>
          <w:sz w:val="20"/>
          <w:lang w:eastAsia="ja-JP"/>
        </w:rPr>
        <w:t>患者20名の治療に水溶性二酸化塩素の経口摂取を使用し、</w:t>
      </w:r>
      <w:r>
        <w:rPr>
          <w:color w:val="202020"/>
          <w:w w:val="85"/>
          <w:sz w:val="20"/>
          <w:lang w:eastAsia="ja-JP"/>
        </w:rPr>
        <w:t>二酸化塩素を投与していない対照群20名と比較する</w:t>
      </w:r>
      <w:r>
        <w:rPr>
          <w:color w:val="202020"/>
          <w:w w:val="80"/>
          <w:sz w:val="20"/>
          <w:lang w:eastAsia="ja-JP"/>
        </w:rPr>
        <w:t>準実験的な調査を行った。</w:t>
      </w:r>
    </w:p>
    <w:p w14:paraId="48A1D8DA" w14:textId="77777777" w:rsidR="0092721B" w:rsidRDefault="00D22738">
      <w:pPr>
        <w:spacing w:before="116" w:line="249" w:lineRule="auto"/>
        <w:ind w:left="132" w:right="121"/>
        <w:jc w:val="both"/>
        <w:rPr>
          <w:sz w:val="20"/>
          <w:lang w:eastAsia="ja-JP"/>
        </w:rPr>
      </w:pPr>
      <w:r>
        <w:rPr>
          <w:b/>
          <w:color w:val="202020"/>
          <w:w w:val="80"/>
          <w:sz w:val="20"/>
          <w:lang w:eastAsia="ja-JP"/>
        </w:rPr>
        <w:t>結果。</w:t>
      </w:r>
      <w:r>
        <w:rPr>
          <w:w w:val="80"/>
          <w:sz w:val="20"/>
          <w:lang w:eastAsia="ja-JP"/>
        </w:rPr>
        <w:t>実験群と対照群の効果を比較するために、</w:t>
      </w:r>
      <w:r>
        <w:rPr>
          <w:w w:val="85"/>
          <w:sz w:val="20"/>
          <w:lang w:eastAsia="ja-JP"/>
        </w:rPr>
        <w:t>一般症状については</w:t>
      </w:r>
      <w:r>
        <w:rPr>
          <w:w w:val="80"/>
          <w:sz w:val="20"/>
          <w:lang w:eastAsia="ja-JP"/>
        </w:rPr>
        <w:t>比率とその信頼区間の比較検定を行い</w:t>
      </w:r>
      <w:r>
        <w:rPr>
          <w:w w:val="85"/>
          <w:sz w:val="20"/>
          <w:lang w:eastAsia="ja-JP"/>
        </w:rPr>
        <w:t>、VASとLikert基準についてはWilcoxon-Mann-Whitney検定（</w:t>
      </w:r>
      <w:r>
        <w:rPr>
          <w:w w:val="85"/>
          <w:sz w:val="20"/>
        </w:rPr>
        <w:t>α</w:t>
      </w:r>
      <w:r>
        <w:rPr>
          <w:w w:val="85"/>
          <w:sz w:val="20"/>
          <w:lang w:eastAsia="ja-JP"/>
        </w:rPr>
        <w:t>：95％）を用いたペア検定を行った 。症状発現後7日目に実験群と対照群を比較したところ、</w:t>
      </w:r>
      <w:r>
        <w:rPr>
          <w:w w:val="80"/>
          <w:sz w:val="20"/>
          <w:lang w:eastAsia="ja-JP"/>
        </w:rPr>
        <w:t>発熱（p：0000）、咳（p：0.0000）、悪寒（p：0.0000）、呼吸困難（p：0.0006）の各症状において、実験群は対照群に対して有意な差</w:t>
      </w:r>
      <w:r>
        <w:rPr>
          <w:w w:val="85"/>
          <w:sz w:val="20"/>
          <w:lang w:eastAsia="ja-JP"/>
        </w:rPr>
        <w:t>が認められた。</w:t>
      </w:r>
      <w:r>
        <w:rPr>
          <w:w w:val="80"/>
          <w:sz w:val="20"/>
          <w:lang w:eastAsia="ja-JP"/>
        </w:rPr>
        <w:t>対照群と実験群で痛みの視覚的アナログ比較を行ったところ、尺度を構成するすべての項目で、対照群に比べて実験群では有意に減少したことがわかった（p：0.0000；p：00017）。実証後14日目には、その差はさらに大きくなりました（p:0.000 ; p:0.0043）。実験室で両群（対照群と実験群）を評価したところ、7日目のパラメータPC Reactive（p：0.0001）とDH Lactate（0.0036）の値に差があり、実験群の方がスコアが高かった；7日目のDimero-D（p：0.0194）と14日目のDimero-D（p：0.0029）、すべてのパラメータに差が見られた。以上の結果（p＜0.05）から、二酸化</w:t>
      </w:r>
      <w:r>
        <w:rPr>
          <w:spacing w:val="3"/>
          <w:w w:val="80"/>
          <w:sz w:val="20"/>
          <w:lang w:eastAsia="ja-JP"/>
        </w:rPr>
        <w:t>塩素は</w:t>
      </w:r>
      <w:r>
        <w:rPr>
          <w:w w:val="80"/>
          <w:sz w:val="20"/>
          <w:lang w:eastAsia="ja-JP"/>
        </w:rPr>
        <w:t>COVID19の治療に有効であるとの</w:t>
      </w:r>
      <w:r>
        <w:rPr>
          <w:spacing w:val="3"/>
          <w:w w:val="80"/>
          <w:sz w:val="20"/>
          <w:lang w:eastAsia="ja-JP"/>
        </w:rPr>
        <w:t>仮説が</w:t>
      </w:r>
      <w:r>
        <w:rPr>
          <w:w w:val="80"/>
          <w:sz w:val="20"/>
          <w:lang w:eastAsia="ja-JP"/>
        </w:rPr>
        <w:t>実証されました。</w:t>
      </w:r>
    </w:p>
    <w:p w14:paraId="0408EC8E" w14:textId="77777777" w:rsidR="0092721B" w:rsidRDefault="00D22738">
      <w:pPr>
        <w:spacing w:before="122" w:line="249" w:lineRule="auto"/>
        <w:ind w:left="132" w:right="121"/>
        <w:jc w:val="both"/>
        <w:rPr>
          <w:sz w:val="20"/>
          <w:lang w:eastAsia="ja-JP"/>
        </w:rPr>
      </w:pPr>
      <w:r>
        <w:rPr>
          <w:b/>
          <w:color w:val="202020"/>
          <w:w w:val="80"/>
          <w:sz w:val="20"/>
          <w:lang w:eastAsia="ja-JP"/>
        </w:rPr>
        <w:t>結論</w:t>
      </w:r>
      <w:r>
        <w:rPr>
          <w:color w:val="202020"/>
          <w:w w:val="80"/>
          <w:sz w:val="20"/>
          <w:lang w:eastAsia="ja-JP"/>
        </w:rPr>
        <w:t>二酸化塩素はCOVID19の治療に有効であり、それを達成するために作用する作用機序をこの作品で提案しています。我々は、より多くの研究を行うことを推奨する。</w:t>
      </w:r>
      <w:r>
        <w:rPr>
          <w:color w:val="0D0D0D"/>
          <w:w w:val="80"/>
          <w:sz w:val="20"/>
          <w:lang w:eastAsia="ja-JP"/>
        </w:rPr>
        <w:t>二重盲検法を実施し、近い将来、疫学的に影響のある病態における二酸化塩素の毒物学的安全性と治療効果の研究を掘り下げることをお勧めし</w:t>
      </w:r>
      <w:r>
        <w:rPr>
          <w:color w:val="202020"/>
          <w:w w:val="80"/>
          <w:sz w:val="20"/>
          <w:lang w:eastAsia="ja-JP"/>
        </w:rPr>
        <w:t>ます。</w:t>
      </w:r>
    </w:p>
    <w:p w14:paraId="6567B064" w14:textId="77777777" w:rsidR="0092721B" w:rsidRDefault="00D22738">
      <w:pPr>
        <w:spacing w:before="115"/>
        <w:ind w:left="132"/>
        <w:jc w:val="both"/>
        <w:rPr>
          <w:sz w:val="20"/>
        </w:rPr>
      </w:pPr>
      <w:r>
        <w:rPr>
          <w:b/>
          <w:color w:val="202020"/>
          <w:w w:val="80"/>
          <w:sz w:val="20"/>
        </w:rPr>
        <w:t>キーワード</w:t>
      </w:r>
      <w:r>
        <w:rPr>
          <w:color w:val="202020"/>
          <w:w w:val="80"/>
          <w:sz w:val="20"/>
        </w:rPr>
        <w:t>SARS-CoV-2 - COVID19 - 有効性 - 二酸化塩素。</w:t>
      </w:r>
    </w:p>
    <w:p w14:paraId="55E6DDFE" w14:textId="77777777" w:rsidR="0092721B" w:rsidRDefault="0092721B">
      <w:pPr>
        <w:pStyle w:val="a3"/>
        <w:spacing w:before="6"/>
        <w:ind w:left="0" w:firstLine="0"/>
        <w:jc w:val="left"/>
        <w:rPr>
          <w:sz w:val="25"/>
        </w:rPr>
      </w:pPr>
    </w:p>
    <w:p w14:paraId="14DF482C" w14:textId="77777777" w:rsidR="0092721B" w:rsidRDefault="0092721B">
      <w:pPr>
        <w:rPr>
          <w:sz w:val="25"/>
        </w:rPr>
        <w:sectPr w:rsidR="0092721B">
          <w:type w:val="continuous"/>
          <w:pgSz w:w="11910" w:h="16840"/>
          <w:pgMar w:top="760" w:right="440" w:bottom="280" w:left="720" w:header="720" w:footer="720" w:gutter="0"/>
          <w:cols w:space="720"/>
        </w:sectPr>
      </w:pPr>
    </w:p>
    <w:p w14:paraId="54E06CDE" w14:textId="77777777" w:rsidR="0092721B" w:rsidRDefault="0092721B">
      <w:pPr>
        <w:pStyle w:val="a3"/>
        <w:spacing w:before="7"/>
        <w:ind w:left="0" w:firstLine="0"/>
        <w:jc w:val="left"/>
        <w:rPr>
          <w:sz w:val="11"/>
        </w:rPr>
      </w:pPr>
    </w:p>
    <w:p w14:paraId="40BD52EC" w14:textId="77777777" w:rsidR="0092721B" w:rsidRDefault="008834D1">
      <w:pPr>
        <w:pStyle w:val="a3"/>
        <w:spacing w:line="20" w:lineRule="exact"/>
        <w:ind w:left="140" w:right="-15" w:firstLine="0"/>
        <w:jc w:val="left"/>
        <w:rPr>
          <w:sz w:val="2"/>
        </w:rPr>
      </w:pPr>
      <w:r>
        <w:rPr>
          <w:sz w:val="2"/>
        </w:rPr>
      </w:r>
      <w:r>
        <w:rPr>
          <w:sz w:val="2"/>
        </w:rPr>
        <w:pict w14:anchorId="065121FF">
          <v:group id="docshapegroup2" o:spid="_x0000_s1080" alt="" style="width:253.75pt;height:1pt;mso-position-horizontal-relative:char;mso-position-vertical-relative:line" coordsize="5075,20">
            <v:line id="_x0000_s1081" alt="" style="position:absolute" from="0,10" to="5074,10" strokecolor="#49266c" strokeweight="1pt"/>
            <w10:anchorlock/>
          </v:group>
        </w:pict>
      </w:r>
    </w:p>
    <w:p w14:paraId="3A22EC25" w14:textId="77777777" w:rsidR="0092721B" w:rsidRDefault="00D22738">
      <w:pPr>
        <w:pStyle w:val="2"/>
        <w:spacing w:before="0"/>
        <w:ind w:left="140"/>
        <w:rPr>
          <w:lang w:eastAsia="ja-JP"/>
        </w:rPr>
      </w:pPr>
      <w:r>
        <w:rPr>
          <w:color w:val="49266C"/>
          <w:w w:val="90"/>
          <w:lang w:eastAsia="ja-JP"/>
        </w:rPr>
        <w:t>はじめに</w:t>
      </w:r>
    </w:p>
    <w:p w14:paraId="68CA1B0F" w14:textId="77777777" w:rsidR="0092721B" w:rsidRDefault="00D22738">
      <w:pPr>
        <w:pStyle w:val="a3"/>
        <w:spacing w:before="202" w:line="249" w:lineRule="auto"/>
        <w:ind w:left="140" w:right="38"/>
        <w:rPr>
          <w:lang w:eastAsia="ja-JP"/>
        </w:rPr>
      </w:pPr>
      <w:r>
        <w:rPr>
          <w:w w:val="80"/>
          <w:lang w:eastAsia="ja-JP"/>
        </w:rPr>
        <w:t>2019年12月、中国の武漢で新たな呼吸器疾患が発生しました。</w:t>
      </w:r>
      <w:r>
        <w:rPr>
          <w:w w:val="85"/>
          <w:lang w:eastAsia="ja-JP"/>
        </w:rPr>
        <w:t>この感染源は、過去に2002年から2004年にかけて重症急性呼吸器症候群（SARS）、</w:t>
      </w:r>
      <w:r>
        <w:rPr>
          <w:w w:val="80"/>
          <w:lang w:eastAsia="ja-JP"/>
        </w:rPr>
        <w:t>2012年に</w:t>
      </w:r>
      <w:r>
        <w:rPr>
          <w:w w:val="85"/>
          <w:lang w:eastAsia="ja-JP"/>
        </w:rPr>
        <w:t>中東</w:t>
      </w:r>
      <w:r>
        <w:rPr>
          <w:w w:val="80"/>
          <w:lang w:eastAsia="ja-JP"/>
        </w:rPr>
        <w:t>呼吸器症候群（MERS）</w:t>
      </w:r>
      <w:r>
        <w:rPr>
          <w:w w:val="85"/>
          <w:lang w:eastAsia="ja-JP"/>
        </w:rPr>
        <w:t>の発生原因となった他のコロナウイルスに関連する、新しいコロナウイルスであることが確認されました</w:t>
      </w:r>
      <w:r>
        <w:rPr>
          <w:w w:val="80"/>
          <w:lang w:eastAsia="ja-JP"/>
        </w:rPr>
        <w:t>（National Institutes of Health , 2020）。</w:t>
      </w:r>
      <w:r>
        <w:rPr>
          <w:w w:val="85"/>
          <w:lang w:eastAsia="ja-JP"/>
        </w:rPr>
        <w:t>このウイルスは「重症急性呼吸器症候群コロナウイルス2」（SARS-CoV-2）と呼ばれ、このウイルスに感染することで生じる病気は</w:t>
      </w:r>
      <w:r>
        <w:rPr>
          <w:w w:val="80"/>
          <w:lang w:eastAsia="ja-JP"/>
        </w:rPr>
        <w:t>「COVID-19」と呼ばれていました。2020年3月11日、世界保健機関（WHO）は「</w:t>
      </w:r>
      <w:r>
        <w:rPr>
          <w:w w:val="90"/>
          <w:lang w:eastAsia="ja-JP"/>
        </w:rPr>
        <w:t>COVID-19」をパンデミックと宣言しました。</w:t>
      </w:r>
    </w:p>
    <w:p w14:paraId="2C7D0390" w14:textId="77777777" w:rsidR="0092721B" w:rsidRDefault="00D22738">
      <w:pPr>
        <w:pStyle w:val="a3"/>
        <w:spacing w:before="120"/>
        <w:ind w:left="423" w:firstLine="0"/>
        <w:jc w:val="left"/>
        <w:rPr>
          <w:lang w:eastAsia="ja-JP"/>
        </w:rPr>
      </w:pPr>
      <w:r>
        <w:rPr>
          <w:w w:val="80"/>
          <w:lang w:eastAsia="ja-JP"/>
        </w:rPr>
        <w:t>コロナウイルスは、エンベロープ型のRNAウイルスの一群であり、その損傷は</w:t>
      </w:r>
    </w:p>
    <w:p w14:paraId="52FE817B" w14:textId="77777777" w:rsidR="0092721B" w:rsidRDefault="008834D1">
      <w:pPr>
        <w:pStyle w:val="a3"/>
        <w:spacing w:before="1"/>
        <w:ind w:left="0" w:firstLine="0"/>
        <w:jc w:val="left"/>
        <w:rPr>
          <w:sz w:val="19"/>
          <w:lang w:eastAsia="ja-JP"/>
        </w:rPr>
      </w:pPr>
      <w:r>
        <w:pict w14:anchorId="05A1121B">
          <v:shape id="docshape3" o:spid="_x0000_s1079" alt="" style="position:absolute;margin-left:42pt;margin-top:12.2pt;width:253.75pt;height:.1pt;z-index:-15727616;mso-wrap-edited:f;mso-width-percent:0;mso-height-percent:0;mso-wrap-distance-left:0;mso-wrap-distance-right:0;mso-position-horizontal-relative:page;mso-width-percent:0;mso-height-percent:0" coordsize="5075,1270" path="m,l5074,e" filled="f" strokecolor="#49266c" strokeweight=".5pt">
            <v:path arrowok="t" o:connecttype="custom" o:connectlocs="0,0;2045963650,0" o:connectangles="0,0"/>
            <w10:wrap type="topAndBottom" anchorx="page"/>
          </v:shape>
        </w:pict>
      </w:r>
    </w:p>
    <w:p w14:paraId="08BA212E" w14:textId="77777777" w:rsidR="0092721B" w:rsidRDefault="00D22738">
      <w:pPr>
        <w:spacing w:before="81" w:line="235" w:lineRule="auto"/>
        <w:ind w:left="120" w:right="65"/>
        <w:jc w:val="both"/>
        <w:rPr>
          <w:i/>
          <w:sz w:val="17"/>
        </w:rPr>
      </w:pPr>
      <w:r>
        <w:rPr>
          <w:rFonts w:ascii="Arial-BoldItalicMT" w:hAnsi="Arial-BoldItalicMT"/>
          <w:b/>
          <w:i/>
          <w:color w:val="49266C"/>
          <w:spacing w:val="-4"/>
          <w:w w:val="85"/>
          <w:sz w:val="17"/>
          <w:lang w:eastAsia="ja-JP"/>
        </w:rPr>
        <w:t>*</w:t>
      </w:r>
      <w:r>
        <w:rPr>
          <w:rFonts w:ascii="Arial-BoldItalicMT" w:hAnsi="Arial-BoldItalicMT"/>
          <w:b/>
          <w:i/>
          <w:color w:val="49266C"/>
          <w:spacing w:val="-4"/>
          <w:w w:val="85"/>
          <w:sz w:val="17"/>
          <w:lang w:eastAsia="ja-JP"/>
        </w:rPr>
        <w:t>通信のためのアドレス</w:t>
      </w:r>
      <w:r>
        <w:rPr>
          <w:rFonts w:ascii="Arial-BoldItalicMT" w:hAnsi="Arial-BoldItalicMT"/>
          <w:b/>
          <w:i/>
          <w:spacing w:val="-4"/>
          <w:w w:val="85"/>
          <w:sz w:val="17"/>
          <w:lang w:eastAsia="ja-JP"/>
        </w:rPr>
        <w:t>。</w:t>
      </w:r>
      <w:r>
        <w:rPr>
          <w:i/>
          <w:spacing w:val="-4"/>
          <w:w w:val="85"/>
          <w:sz w:val="17"/>
        </w:rPr>
        <w:t xml:space="preserve">Dr. Eduardo Insignares-Carrione, </w:t>
      </w:r>
      <w:r>
        <w:rPr>
          <w:i/>
          <w:spacing w:val="-3"/>
          <w:w w:val="85"/>
          <w:sz w:val="17"/>
        </w:rPr>
        <w:t xml:space="preserve">LVWG Global </w:t>
      </w:r>
      <w:r>
        <w:rPr>
          <w:i/>
          <w:spacing w:val="-5"/>
          <w:w w:val="80"/>
          <w:sz w:val="17"/>
        </w:rPr>
        <w:t xml:space="preserve">Research Director, Liechtensteiner Verein für Wissenschaft </w:t>
      </w:r>
      <w:r>
        <w:rPr>
          <w:i/>
          <w:spacing w:val="-4"/>
          <w:w w:val="80"/>
          <w:sz w:val="17"/>
        </w:rPr>
        <w:t>und Gesundheit, Switzerland-</w:t>
      </w:r>
      <w:r>
        <w:rPr>
          <w:i/>
          <w:spacing w:val="-5"/>
          <w:w w:val="80"/>
          <w:sz w:val="17"/>
        </w:rPr>
        <w:t>Liechtenstein; E-mail</w:t>
      </w:r>
      <w:hyperlink r:id="rId10">
        <w:r>
          <w:rPr>
            <w:i/>
            <w:spacing w:val="-5"/>
            <w:w w:val="80"/>
            <w:sz w:val="17"/>
          </w:rPr>
          <w:t>: eduardoinsignarescarrione@gmail.com</w:t>
        </w:r>
      </w:hyperlink>
      <w:hyperlink r:id="rId11">
        <w:r>
          <w:rPr>
            <w:i/>
            <w:spacing w:val="-5"/>
            <w:w w:val="80"/>
            <w:sz w:val="17"/>
          </w:rPr>
          <w:t>/ eic@lvwg.org</w:t>
        </w:r>
      </w:hyperlink>
    </w:p>
    <w:p w14:paraId="67979EDA" w14:textId="77777777" w:rsidR="0092721B" w:rsidRDefault="00D22738">
      <w:pPr>
        <w:spacing w:before="110" w:line="235" w:lineRule="auto"/>
        <w:ind w:left="120" w:right="56"/>
        <w:jc w:val="both"/>
        <w:rPr>
          <w:i/>
          <w:sz w:val="17"/>
        </w:rPr>
      </w:pPr>
      <w:r>
        <w:rPr>
          <w:rFonts w:ascii="Arial-BoldItalicMT" w:hAnsi="Arial-BoldItalicMT"/>
          <w:b/>
          <w:i/>
          <w:color w:val="49266C"/>
          <w:w w:val="85"/>
          <w:sz w:val="17"/>
        </w:rPr>
        <w:t>Copyright</w:t>
      </w:r>
      <w:r>
        <w:rPr>
          <w:rFonts w:ascii="Arial-BoldItalicMT" w:hAnsi="Arial-BoldItalicMT"/>
          <w:b/>
          <w:i/>
          <w:w w:val="85"/>
          <w:sz w:val="17"/>
        </w:rPr>
        <w:t xml:space="preserve">: © </w:t>
      </w:r>
      <w:r>
        <w:rPr>
          <w:i/>
          <w:w w:val="85"/>
          <w:sz w:val="17"/>
        </w:rPr>
        <w:t xml:space="preserve">2021 Insignares - Carrione, et </w:t>
      </w:r>
      <w:r>
        <w:rPr>
          <w:i/>
          <w:w w:val="80"/>
          <w:sz w:val="17"/>
        </w:rPr>
        <w:t>al.</w:t>
      </w:r>
      <w:r>
        <w:rPr>
          <w:i/>
          <w:w w:val="85"/>
          <w:sz w:val="17"/>
        </w:rPr>
        <w:t xml:space="preserve"> This is an open-access article </w:t>
      </w:r>
      <w:r>
        <w:rPr>
          <w:i/>
          <w:w w:val="80"/>
          <w:sz w:val="17"/>
        </w:rPr>
        <w:t>distributed under the terms of Creative Commons Attribution License, which ...</w:t>
      </w:r>
    </w:p>
    <w:p w14:paraId="3EB5F36D" w14:textId="77777777" w:rsidR="0092721B" w:rsidRDefault="00D22738">
      <w:pPr>
        <w:pStyle w:val="a3"/>
        <w:spacing w:before="104" w:line="242" w:lineRule="auto"/>
        <w:ind w:left="120" w:right="124" w:firstLine="0"/>
        <w:rPr>
          <w:lang w:eastAsia="ja-JP"/>
        </w:rPr>
      </w:pPr>
      <w:r>
        <w:rPr>
          <w:lang w:eastAsia="ja-JP"/>
        </w:rPr>
        <w:br w:type="column"/>
      </w:r>
      <w:r>
        <w:rPr>
          <w:w w:val="80"/>
          <w:lang w:eastAsia="ja-JP"/>
        </w:rPr>
        <w:t>多臓器に感染します。SARS-CoV-2ウイルスは，他のコロナウイルスと同様，表面に糖タンパク質のスパイクを持つ球状の粒子である。コロナウイルスは、スパイクのうち「受容体結合ドメイン」と呼ばれる領域が、ヒト細胞のアンジオテンシン変換酵素2（hACE2）と結合することで、宿主細胞に侵入する。その後、ウイルスの膜は宿主細胞の膜と融合し、ウイルスのゲノム</w:t>
      </w:r>
      <w:r>
        <w:rPr>
          <w:w w:val="90"/>
          <w:lang w:eastAsia="ja-JP"/>
        </w:rPr>
        <w:t>が宿主細胞に侵入する。</w:t>
      </w:r>
    </w:p>
    <w:p w14:paraId="65487B74" w14:textId="77777777" w:rsidR="0092721B" w:rsidRDefault="00D22738">
      <w:pPr>
        <w:pStyle w:val="a3"/>
        <w:spacing w:before="119" w:line="242" w:lineRule="auto"/>
        <w:ind w:left="120" w:right="124"/>
        <w:rPr>
          <w:lang w:eastAsia="ja-JP"/>
        </w:rPr>
      </w:pPr>
      <w:r>
        <w:rPr>
          <w:w w:val="85"/>
          <w:lang w:eastAsia="ja-JP"/>
        </w:rPr>
        <w:t>二酸化塩素(ClO2)は、</w:t>
      </w:r>
      <w:r>
        <w:rPr>
          <w:w w:val="80"/>
          <w:lang w:eastAsia="ja-JP"/>
        </w:rPr>
        <w:t>COVID-19との戦い</w:t>
      </w:r>
      <w:r>
        <w:rPr>
          <w:w w:val="85"/>
          <w:lang w:eastAsia="ja-JP"/>
        </w:rPr>
        <w:t>における潜在的な薬剤として提案されており、</w:t>
      </w:r>
      <w:r>
        <w:rPr>
          <w:w w:val="80"/>
          <w:lang w:eastAsia="ja-JP"/>
        </w:rPr>
        <w:t>COVID-19に対するClO2の治療能力を調べるための3つの臨床試験が提案されています。しかし、この薬剤はあまり知られておらず、</w:t>
      </w:r>
      <w:r>
        <w:rPr>
          <w:w w:val="85"/>
          <w:lang w:eastAsia="ja-JP"/>
        </w:rPr>
        <w:t>理解されておらず、医学界では次亜塩素酸ナトリウムとの混同により悪者扱いされていると推測されます。そこで、</w:t>
      </w:r>
      <w:r>
        <w:rPr>
          <w:w w:val="80"/>
          <w:lang w:eastAsia="ja-JP"/>
        </w:rPr>
        <w:t>本研究では、COVID-19</w:t>
      </w:r>
      <w:r>
        <w:rPr>
          <w:w w:val="85"/>
          <w:lang w:eastAsia="ja-JP"/>
        </w:rPr>
        <w:t>における塩素の二酸化物の経口使用の有効性を検証することを目的とし</w:t>
      </w:r>
      <w:r>
        <w:rPr>
          <w:w w:val="80"/>
          <w:lang w:eastAsia="ja-JP"/>
        </w:rPr>
        <w:t>、ClO2の歴史、その安全性、さらにはCOVID-19の治療効果について深く検討しました。</w:t>
      </w:r>
    </w:p>
    <w:p w14:paraId="28B50FB2" w14:textId="77777777" w:rsidR="0092721B" w:rsidRDefault="00D22738">
      <w:pPr>
        <w:pStyle w:val="a3"/>
        <w:spacing w:before="7" w:line="247" w:lineRule="auto"/>
        <w:ind w:left="120" w:right="124" w:firstLine="0"/>
        <w:rPr>
          <w:lang w:eastAsia="ja-JP"/>
        </w:rPr>
      </w:pPr>
      <w:r>
        <w:rPr>
          <w:w w:val="85"/>
          <w:lang w:eastAsia="ja-JP"/>
        </w:rPr>
        <w:t>二酸化塩素の毒性プロファイルとCOVID-19対策への応用の可能性について。</w:t>
      </w:r>
      <w:r>
        <w:rPr>
          <w:w w:val="80"/>
          <w:lang w:eastAsia="ja-JP"/>
        </w:rPr>
        <w:t>この研究の目的は、二酸化塩素が</w:t>
      </w:r>
      <w:r>
        <w:rPr>
          <w:w w:val="90"/>
          <w:lang w:eastAsia="ja-JP"/>
        </w:rPr>
        <w:t>covid19[1-65]の管理</w:t>
      </w:r>
      <w:r>
        <w:rPr>
          <w:w w:val="80"/>
          <w:lang w:eastAsia="ja-JP"/>
        </w:rPr>
        <w:t>に有効かどうかを判断することです。</w:t>
      </w:r>
    </w:p>
    <w:p w14:paraId="4527F17C" w14:textId="77777777" w:rsidR="0092721B" w:rsidRDefault="008834D1">
      <w:pPr>
        <w:pStyle w:val="a3"/>
        <w:spacing w:before="9"/>
        <w:ind w:left="0" w:firstLine="0"/>
        <w:jc w:val="left"/>
        <w:rPr>
          <w:sz w:val="12"/>
          <w:lang w:eastAsia="ja-JP"/>
        </w:rPr>
      </w:pPr>
      <w:r>
        <w:pict w14:anchorId="32A9ABC7">
          <v:shape id="docshape4" o:spid="_x0000_s1078" alt="" style="position:absolute;margin-left:313.25pt;margin-top:8.55pt;width:253.75pt;height:.1pt;z-index:-15727104;mso-wrap-edited:f;mso-width-percent:0;mso-height-percent:0;mso-wrap-distance-left:0;mso-wrap-distance-right:0;mso-position-horizontal-relative:page;mso-width-percent:0;mso-height-percent:0" coordsize="5075,1270" path="m,l5074,e" filled="f" strokecolor="#49266c" strokeweight="1pt">
            <v:path arrowok="t" o:connecttype="custom" o:connectlocs="0,0;2045963650,0" o:connectangles="0,0"/>
            <w10:wrap type="topAndBottom" anchorx="page"/>
          </v:shape>
        </w:pict>
      </w:r>
    </w:p>
    <w:p w14:paraId="28680960" w14:textId="77777777" w:rsidR="0092721B" w:rsidRDefault="00D22738">
      <w:pPr>
        <w:pStyle w:val="2"/>
        <w:ind w:left="120"/>
        <w:jc w:val="both"/>
        <w:rPr>
          <w:lang w:eastAsia="ja-JP"/>
        </w:rPr>
      </w:pPr>
      <w:r>
        <w:rPr>
          <w:color w:val="49266C"/>
          <w:w w:val="80"/>
          <w:lang w:eastAsia="ja-JP"/>
        </w:rPr>
        <w:t>文献調査</w:t>
      </w:r>
    </w:p>
    <w:p w14:paraId="3A3C6DDC" w14:textId="77777777" w:rsidR="0092721B" w:rsidRDefault="00D22738">
      <w:pPr>
        <w:pStyle w:val="3"/>
        <w:spacing w:before="129" w:line="118" w:lineRule="exact"/>
        <w:ind w:left="120"/>
        <w:rPr>
          <w:lang w:eastAsia="ja-JP"/>
        </w:rPr>
      </w:pPr>
      <w:r>
        <w:rPr>
          <w:w w:val="80"/>
          <w:lang w:eastAsia="ja-JP"/>
        </w:rPr>
        <w:t>二酸化塩素（ClO）の物理的・化学的特性</w:t>
      </w:r>
    </w:p>
    <w:p w14:paraId="3B4F5D6D" w14:textId="77777777" w:rsidR="0092721B" w:rsidRDefault="0092721B">
      <w:pPr>
        <w:spacing w:line="118" w:lineRule="exact"/>
        <w:rPr>
          <w:lang w:eastAsia="ja-JP"/>
        </w:rPr>
        <w:sectPr w:rsidR="0092721B">
          <w:type w:val="continuous"/>
          <w:pgSz w:w="11910" w:h="16840"/>
          <w:pgMar w:top="760" w:right="440" w:bottom="280" w:left="720" w:header="720" w:footer="720" w:gutter="0"/>
          <w:cols w:num="2" w:space="720" w:equalWidth="0">
            <w:col w:w="5256" w:space="168"/>
            <w:col w:w="5326"/>
          </w:cols>
        </w:sectPr>
      </w:pPr>
    </w:p>
    <w:p w14:paraId="6EBFE387" w14:textId="77777777" w:rsidR="0092721B" w:rsidRDefault="00D22738">
      <w:pPr>
        <w:spacing w:before="5" w:line="235" w:lineRule="auto"/>
        <w:ind w:left="120"/>
        <w:rPr>
          <w:i/>
          <w:sz w:val="17"/>
          <w:lang w:eastAsia="ja-JP"/>
        </w:rPr>
      </w:pPr>
      <w:r>
        <w:rPr>
          <w:i/>
          <w:w w:val="80"/>
          <w:sz w:val="17"/>
          <w:lang w:eastAsia="ja-JP"/>
        </w:rPr>
        <w:t>は、</w:t>
      </w:r>
      <w:r>
        <w:rPr>
          <w:i/>
          <w:w w:val="90"/>
          <w:sz w:val="17"/>
          <w:lang w:eastAsia="ja-JP"/>
        </w:rPr>
        <w:t>原著者と出典が明記されている</w:t>
      </w:r>
      <w:r>
        <w:rPr>
          <w:i/>
          <w:w w:val="80"/>
          <w:sz w:val="17"/>
          <w:lang w:eastAsia="ja-JP"/>
        </w:rPr>
        <w:t>場合に限り、いかなる媒体においても無制限の使用、配布、複製が認められています</w:t>
      </w:r>
      <w:r>
        <w:rPr>
          <w:i/>
          <w:w w:val="90"/>
          <w:sz w:val="17"/>
          <w:lang w:eastAsia="ja-JP"/>
        </w:rPr>
        <w:t>。</w:t>
      </w:r>
    </w:p>
    <w:p w14:paraId="5288B671" w14:textId="77777777" w:rsidR="0092721B" w:rsidRDefault="00D22738">
      <w:pPr>
        <w:spacing w:before="38" w:line="116" w:lineRule="exact"/>
        <w:ind w:left="2012" w:right="3207"/>
        <w:jc w:val="center"/>
        <w:rPr>
          <w:b/>
          <w:sz w:val="13"/>
        </w:rPr>
      </w:pPr>
      <w:r>
        <w:rPr>
          <w:lang w:eastAsia="ja-JP"/>
        </w:rPr>
        <w:br w:type="column"/>
      </w:r>
      <w:r>
        <w:rPr>
          <w:b/>
          <w:w w:val="90"/>
          <w:sz w:val="13"/>
        </w:rPr>
        <w:t>2</w:t>
      </w:r>
    </w:p>
    <w:p w14:paraId="61CBE564" w14:textId="77777777" w:rsidR="0092721B" w:rsidRDefault="00D22738">
      <w:pPr>
        <w:pStyle w:val="3"/>
        <w:spacing w:before="0" w:line="219" w:lineRule="exact"/>
        <w:ind w:left="120"/>
        <w:jc w:val="left"/>
      </w:pPr>
      <w:r>
        <w:rPr>
          <w:w w:val="80"/>
        </w:rPr>
        <w:t>二酸化塩素の</w:t>
      </w:r>
    </w:p>
    <w:p w14:paraId="662C0D16" w14:textId="77777777" w:rsidR="0092721B" w:rsidRDefault="0092721B">
      <w:pPr>
        <w:spacing w:line="219" w:lineRule="exact"/>
        <w:sectPr w:rsidR="0092721B">
          <w:type w:val="continuous"/>
          <w:pgSz w:w="11910" w:h="16840"/>
          <w:pgMar w:top="760" w:right="440" w:bottom="280" w:left="720" w:header="720" w:footer="720" w:gutter="0"/>
          <w:cols w:num="2" w:space="720" w:equalWidth="0">
            <w:col w:w="5237" w:space="187"/>
            <w:col w:w="5326"/>
          </w:cols>
        </w:sectPr>
      </w:pPr>
    </w:p>
    <w:p w14:paraId="42FEE414" w14:textId="77777777" w:rsidR="0092721B" w:rsidRDefault="008834D1">
      <w:pPr>
        <w:tabs>
          <w:tab w:val="left" w:pos="5827"/>
        </w:tabs>
        <w:spacing w:before="101"/>
        <w:ind w:left="120"/>
        <w:rPr>
          <w:sz w:val="18"/>
        </w:rPr>
      </w:pPr>
      <w:r>
        <w:pict w14:anchorId="6A0D1D03">
          <v:group id="docshapegroup5" o:spid="_x0000_s1074" alt="" style="position:absolute;left:0;text-align:left;margin-left:0;margin-top:86.05pt;width:595.3pt;height:14.25pt;z-index:-16269312;mso-position-horizontal-relative:page;mso-position-vertical-relative:page" coordorigin=",1721" coordsize="11906,285">
            <v:rect id="docshape6" o:spid="_x0000_s1075" alt="" style="position:absolute;top:1720;width:11906;height:285" fillcolor="#49266c" stroked="f"/>
            <v:shape id="docshape7" o:spid="_x0000_s1076" type="#_x0000_t202" alt="" style="position:absolute;left:850;top:1766;width:1161;height:220;mso-wrap-style:square;v-text-anchor:top" filled="f" stroked="f">
              <v:textbox inset="0,0,0,0">
                <w:txbxContent>
                  <w:p w14:paraId="12323AAB" w14:textId="77777777" w:rsidR="0092721B" w:rsidRDefault="00D22738">
                    <w:pPr>
                      <w:spacing w:before="3"/>
                      <w:rPr>
                        <w:b/>
                        <w:sz w:val="18"/>
                      </w:rPr>
                    </w:pPr>
                    <w:r>
                      <w:rPr>
                        <w:b/>
                        <w:color w:val="FFFFFF"/>
                        <w:w w:val="80"/>
                        <w:sz w:val="18"/>
                      </w:rPr>
                      <w:t>イスン：1747-0862</w:t>
                    </w:r>
                  </w:p>
                </w:txbxContent>
              </v:textbox>
            </v:shape>
            <v:shape id="docshape8" o:spid="_x0000_s1077" type="#_x0000_t202" alt="" style="position:absolute;left:10408;top:1766;width:950;height:220;mso-wrap-style:square;v-text-anchor:top" filled="f" stroked="f">
              <v:textbox inset="0,0,0,0">
                <w:txbxContent>
                  <w:p w14:paraId="4D21EA90" w14:textId="77777777" w:rsidR="0092721B" w:rsidRDefault="00D22738">
                    <w:pPr>
                      <w:spacing w:before="3"/>
                      <w:rPr>
                        <w:b/>
                        <w:sz w:val="18"/>
                      </w:rPr>
                    </w:pPr>
                    <w:r>
                      <w:rPr>
                        <w:b/>
                        <w:color w:val="FFFFFF"/>
                        <w:w w:val="80"/>
                        <w:sz w:val="18"/>
                      </w:rPr>
                      <w:t>オープンアクセス</w:t>
                    </w:r>
                  </w:p>
                </w:txbxContent>
              </v:textbox>
            </v:shape>
            <w10:wrap anchorx="page" anchory="page"/>
          </v:group>
        </w:pict>
      </w:r>
      <w:r>
        <w:pict w14:anchorId="7EFED1C0">
          <v:rect id="docshape9" o:spid="_x0000_s1073" alt="" style="position:absolute;left:0;text-align:left;margin-left:.1pt;margin-top:286.55pt;width:595.2pt;height:264.4pt;z-index:-16268800;mso-wrap-edited:f;mso-width-percent:0;mso-height-percent:0;mso-position-horizontal-relative:page;mso-position-vertical-relative:page;mso-width-percent:0;mso-height-percent:0" fillcolor="#f2f2f2" stroked="f">
            <w10:wrap anchorx="page" anchory="page"/>
          </v:rect>
        </w:pict>
      </w:r>
      <w:r w:rsidR="00D22738">
        <w:rPr>
          <w:b/>
          <w:w w:val="80"/>
          <w:sz w:val="17"/>
        </w:rPr>
        <w:t xml:space="preserve">Received </w:t>
      </w:r>
      <w:r w:rsidR="00D22738">
        <w:rPr>
          <w:w w:val="80"/>
          <w:sz w:val="17"/>
        </w:rPr>
        <w:t xml:space="preserve">22 February 2021; </w:t>
      </w:r>
      <w:r w:rsidR="00D22738">
        <w:rPr>
          <w:b/>
          <w:w w:val="80"/>
          <w:sz w:val="17"/>
        </w:rPr>
        <w:t xml:space="preserve">Accepted </w:t>
      </w:r>
      <w:r w:rsidR="00D22738">
        <w:rPr>
          <w:w w:val="80"/>
          <w:sz w:val="17"/>
        </w:rPr>
        <w:t xml:space="preserve">01 March 2021; </w:t>
      </w:r>
      <w:r w:rsidR="00D22738">
        <w:rPr>
          <w:b/>
          <w:w w:val="80"/>
          <w:sz w:val="17"/>
        </w:rPr>
        <w:t xml:space="preserve">Published </w:t>
      </w:r>
      <w:r w:rsidR="00D22738">
        <w:rPr>
          <w:w w:val="80"/>
          <w:sz w:val="17"/>
        </w:rPr>
        <w:t>08 March 2021</w:t>
      </w:r>
      <w:r w:rsidR="00D22738">
        <w:rPr>
          <w:w w:val="80"/>
          <w:sz w:val="17"/>
        </w:rPr>
        <w:tab/>
      </w:r>
      <w:r w:rsidR="00D22738">
        <w:rPr>
          <w:w w:val="85"/>
          <w:sz w:val="18"/>
        </w:rPr>
        <w:t>二酸化塩素（</w:t>
      </w:r>
      <w:r w:rsidR="00D22738">
        <w:rPr>
          <w:w w:val="85"/>
          <w:sz w:val="18"/>
          <w:vertAlign w:val="subscript"/>
        </w:rPr>
        <w:t>ClO2</w:t>
      </w:r>
      <w:r w:rsidR="00D22738">
        <w:rPr>
          <w:w w:val="85"/>
          <w:sz w:val="18"/>
        </w:rPr>
        <w:t>）は、標準的な条件下では気体であり、モル</w:t>
      </w:r>
    </w:p>
    <w:p w14:paraId="478099FF" w14:textId="77777777" w:rsidR="0092721B" w:rsidRDefault="0092721B">
      <w:pPr>
        <w:rPr>
          <w:sz w:val="18"/>
        </w:rPr>
        <w:sectPr w:rsidR="0092721B">
          <w:type w:val="continuous"/>
          <w:pgSz w:w="11910" w:h="16840"/>
          <w:pgMar w:top="760" w:right="440" w:bottom="280" w:left="720" w:header="720" w:footer="720" w:gutter="0"/>
          <w:cols w:space="720"/>
        </w:sectPr>
      </w:pPr>
    </w:p>
    <w:p w14:paraId="2BA0B776" w14:textId="77777777" w:rsidR="0092721B" w:rsidRDefault="0092721B">
      <w:pPr>
        <w:pStyle w:val="a3"/>
        <w:spacing w:before="6"/>
        <w:ind w:left="0" w:firstLine="0"/>
        <w:jc w:val="left"/>
        <w:rPr>
          <w:sz w:val="14"/>
        </w:rPr>
      </w:pPr>
    </w:p>
    <w:p w14:paraId="4FAAEBF4" w14:textId="77777777" w:rsidR="0092721B" w:rsidRDefault="0092721B">
      <w:pPr>
        <w:rPr>
          <w:sz w:val="14"/>
        </w:rPr>
        <w:sectPr w:rsidR="0092721B">
          <w:headerReference w:type="default" r:id="rId12"/>
          <w:footerReference w:type="default" r:id="rId13"/>
          <w:pgSz w:w="11910" w:h="16840"/>
          <w:pgMar w:top="1080" w:right="440" w:bottom="880" w:left="720" w:header="814" w:footer="686" w:gutter="0"/>
          <w:pgNumType w:start="2"/>
          <w:cols w:space="720"/>
        </w:sectPr>
      </w:pPr>
    </w:p>
    <w:p w14:paraId="6B2AD16B" w14:textId="77777777" w:rsidR="0092721B" w:rsidRDefault="00D22738">
      <w:pPr>
        <w:pStyle w:val="a3"/>
        <w:spacing w:before="101" w:line="216" w:lineRule="exact"/>
        <w:ind w:right="39" w:hanging="1"/>
        <w:rPr>
          <w:lang w:eastAsia="ja-JP"/>
        </w:rPr>
      </w:pPr>
      <w:r>
        <w:rPr>
          <w:w w:val="80"/>
          <w:lang w:eastAsia="ja-JP"/>
        </w:rPr>
        <w:t>の質量が67.45g/molである。一般的に、</w:t>
      </w:r>
      <w:r>
        <w:rPr>
          <w:w w:val="80"/>
          <w:vertAlign w:val="subscript"/>
          <w:lang w:eastAsia="ja-JP"/>
        </w:rPr>
        <w:t>ClO2</w:t>
      </w:r>
      <w:r>
        <w:rPr>
          <w:w w:val="80"/>
          <w:lang w:eastAsia="ja-JP"/>
        </w:rPr>
        <w:t>ガスは、</w:t>
      </w:r>
      <w:r>
        <w:rPr>
          <w:w w:val="80"/>
          <w:position w:val="-5"/>
          <w:sz w:val="10"/>
          <w:lang w:eastAsia="ja-JP"/>
        </w:rPr>
        <w:t>NaClO2</w:t>
      </w:r>
      <w:r>
        <w:rPr>
          <w:w w:val="80"/>
          <w:lang w:eastAsia="ja-JP"/>
        </w:rPr>
        <w:t>（亜塩素酸ナトリウム）と</w:t>
      </w:r>
      <w:r>
        <w:rPr>
          <w:w w:val="80"/>
          <w:position w:val="-5"/>
          <w:sz w:val="10"/>
          <w:lang w:eastAsia="ja-JP"/>
        </w:rPr>
        <w:t>Cl2</w:t>
      </w:r>
      <w:r>
        <w:rPr>
          <w:w w:val="80"/>
          <w:lang w:eastAsia="ja-JP"/>
        </w:rPr>
        <w:t>、</w:t>
      </w:r>
      <w:r>
        <w:rPr>
          <w:w w:val="80"/>
          <w:position w:val="-5"/>
          <w:sz w:val="10"/>
          <w:lang w:eastAsia="ja-JP"/>
        </w:rPr>
        <w:t>NaClO2</w:t>
      </w:r>
      <w:r>
        <w:rPr>
          <w:w w:val="80"/>
          <w:lang w:eastAsia="ja-JP"/>
        </w:rPr>
        <w:t>とHOCl、</w:t>
      </w:r>
      <w:r>
        <w:rPr>
          <w:w w:val="80"/>
          <w:position w:val="-5"/>
          <w:sz w:val="10"/>
          <w:lang w:eastAsia="ja-JP"/>
        </w:rPr>
        <w:t>NaClO2と</w:t>
      </w:r>
      <w:r>
        <w:rPr>
          <w:w w:val="80"/>
          <w:lang w:eastAsia="ja-JP"/>
        </w:rPr>
        <w:t>HClやH3PO</w:t>
      </w:r>
      <w:r>
        <w:rPr>
          <w:w w:val="80"/>
          <w:vertAlign w:val="subscript"/>
          <w:lang w:eastAsia="ja-JP"/>
        </w:rPr>
        <w:t>4</w:t>
      </w:r>
      <w:r>
        <w:rPr>
          <w:w w:val="80"/>
          <w:lang w:eastAsia="ja-JP"/>
        </w:rPr>
        <w:t xml:space="preserve">などの酸との反応から合成することができます。水に溶けやすく、溶解度は3g / 100 mL </w:t>
      </w:r>
      <w:hyperlink r:id="rId14">
        <w:r>
          <w:rPr>
            <w:w w:val="80"/>
            <w:lang w:eastAsia="ja-JP"/>
          </w:rPr>
          <w:t>https://www.vyphidroasesores.com/。</w:t>
        </w:r>
      </w:hyperlink>
    </w:p>
    <w:p w14:paraId="64B0F7A5" w14:textId="77777777" w:rsidR="0092721B" w:rsidRDefault="00D22738">
      <w:pPr>
        <w:pStyle w:val="a3"/>
        <w:spacing w:before="117" w:line="249" w:lineRule="auto"/>
        <w:ind w:right="38"/>
        <w:rPr>
          <w:lang w:eastAsia="ja-JP"/>
        </w:rPr>
      </w:pPr>
      <w:r>
        <w:rPr>
          <w:w w:val="85"/>
          <w:lang w:eastAsia="ja-JP"/>
        </w:rPr>
        <w:t>二酸化塩素の反応性は、その構造と結合に関係している。</w:t>
      </w:r>
      <w:r>
        <w:rPr>
          <w:w w:val="80"/>
          <w:lang w:eastAsia="ja-JP"/>
        </w:rPr>
        <w:t>二酸化塩素は曲がった対称性のある三原子分子（C2v点群）で</w:t>
      </w:r>
      <w:r>
        <w:rPr>
          <w:w w:val="85"/>
          <w:lang w:eastAsia="ja-JP"/>
        </w:rPr>
        <w:t>、Cl-O結合の長さは147.3ピコメートル、結合角は117.6度である</w:t>
      </w:r>
      <w:r>
        <w:rPr>
          <w:w w:val="80"/>
          <w:lang w:eastAsia="ja-JP"/>
        </w:rPr>
        <w:t>（図1A）。ClO2は19個の奇数個の電子を持っている</w:t>
      </w:r>
      <w:r>
        <w:rPr>
          <w:color w:val="202122"/>
          <w:w w:val="85"/>
          <w:lang w:eastAsia="ja-JP"/>
        </w:rPr>
        <w:t>ため</w:t>
      </w:r>
      <w:r>
        <w:rPr>
          <w:w w:val="85"/>
          <w:lang w:eastAsia="ja-JP"/>
        </w:rPr>
        <w:t>、</w:t>
      </w:r>
      <w:hyperlink r:id="rId15">
        <w:r>
          <w:rPr>
            <w:w w:val="85"/>
            <w:lang w:eastAsia="ja-JP"/>
          </w:rPr>
          <w:t>常磁性ラジカル</w:t>
        </w:r>
      </w:hyperlink>
      <w:r>
        <w:rPr>
          <w:w w:val="85"/>
          <w:lang w:eastAsia="ja-JP"/>
        </w:rPr>
        <w:t>である。</w:t>
      </w:r>
      <w:r>
        <w:rPr>
          <w:color w:val="202122"/>
          <w:w w:val="85"/>
          <w:lang w:eastAsia="ja-JP"/>
        </w:rPr>
        <w:t>二酸化塩素の電子構造は、</w:t>
      </w:r>
      <w:r>
        <w:rPr>
          <w:color w:val="202122"/>
          <w:w w:val="80"/>
          <w:lang w:eastAsia="ja-JP"/>
        </w:rPr>
        <w:t>可能性のある構造d</w:t>
      </w:r>
      <w:r>
        <w:rPr>
          <w:w w:val="80"/>
          <w:lang w:eastAsia="ja-JP"/>
        </w:rPr>
        <w:t>と</w:t>
      </w:r>
      <w:r>
        <w:rPr>
          <w:color w:val="202122"/>
          <w:w w:val="80"/>
          <w:lang w:eastAsia="ja-JP"/>
        </w:rPr>
        <w:t>Lewisitのどれもが</w:t>
      </w:r>
      <w:r>
        <w:rPr>
          <w:color w:val="202122"/>
          <w:w w:val="85"/>
          <w:lang w:eastAsia="ja-JP"/>
        </w:rPr>
        <w:t>あまり満足できるものではない</w:t>
      </w:r>
      <w:r>
        <w:rPr>
          <w:color w:val="202122"/>
          <w:w w:val="80"/>
          <w:lang w:eastAsia="ja-JP"/>
        </w:rPr>
        <w:t>ため、長い間、化学者を悩</w:t>
      </w:r>
      <w:r>
        <w:rPr>
          <w:color w:val="202122"/>
          <w:w w:val="85"/>
          <w:lang w:eastAsia="ja-JP"/>
        </w:rPr>
        <w:t>ませて</w:t>
      </w:r>
      <w:r>
        <w:rPr>
          <w:color w:val="202122"/>
          <w:w w:val="80"/>
          <w:lang w:eastAsia="ja-JP"/>
        </w:rPr>
        <w:t>きた</w:t>
      </w:r>
      <w:r>
        <w:rPr>
          <w:color w:val="202122"/>
          <w:w w:val="85"/>
          <w:lang w:eastAsia="ja-JP"/>
        </w:rPr>
        <w:t>[1-10]。</w:t>
      </w:r>
    </w:p>
    <w:p w14:paraId="741965DB" w14:textId="77777777" w:rsidR="0092721B" w:rsidRDefault="00D22738">
      <w:pPr>
        <w:pStyle w:val="a3"/>
        <w:spacing w:before="119" w:line="249" w:lineRule="auto"/>
        <w:ind w:right="38"/>
        <w:rPr>
          <w:lang w:eastAsia="ja-JP"/>
        </w:rPr>
      </w:pPr>
      <w:r>
        <w:rPr>
          <w:w w:val="85"/>
          <w:lang w:eastAsia="ja-JP"/>
        </w:rPr>
        <w:t>分子軌道理論では、1つの電子が</w:t>
      </w:r>
      <w:r>
        <w:rPr>
          <w:w w:val="80"/>
          <w:lang w:eastAsia="ja-JP"/>
        </w:rPr>
        <w:t>最も高い非占有分子軌道であるp*軌道を占有している</w:t>
      </w:r>
      <w:r>
        <w:rPr>
          <w:w w:val="85"/>
          <w:lang w:eastAsia="ja-JP"/>
        </w:rPr>
        <w:t>ことが明らかになっており</w:t>
      </w:r>
      <w:r>
        <w:rPr>
          <w:w w:val="80"/>
          <w:lang w:eastAsia="ja-JP"/>
        </w:rPr>
        <w:t>、これによりこの分子はフリーラジカルとなり、その反応性を説明することができます。図1Bには、</w:t>
      </w:r>
      <w:r>
        <w:rPr>
          <w:w w:val="80"/>
          <w:vertAlign w:val="subscript"/>
          <w:lang w:eastAsia="ja-JP"/>
        </w:rPr>
        <w:t>ClO2</w:t>
      </w:r>
      <w:r>
        <w:rPr>
          <w:w w:val="80"/>
          <w:lang w:eastAsia="ja-JP"/>
        </w:rPr>
        <w:t>の2つの共鳴構造が示されている。</w:t>
      </w:r>
      <w:r>
        <w:rPr>
          <w:w w:val="80"/>
          <w:vertAlign w:val="subscript"/>
          <w:lang w:eastAsia="ja-JP"/>
        </w:rPr>
        <w:t>ClO2</w:t>
      </w:r>
      <w:r>
        <w:rPr>
          <w:w w:val="80"/>
          <w:lang w:eastAsia="ja-JP"/>
        </w:rPr>
        <w:t>ラジカルの共鳴構造は、</w:t>
      </w:r>
      <w:r>
        <w:rPr>
          <w:w w:val="85"/>
          <w:lang w:eastAsia="ja-JP"/>
        </w:rPr>
        <w:t>中心のCl原子とO原子の間の二重結合と、</w:t>
      </w:r>
      <w:r>
        <w:rPr>
          <w:w w:val="80"/>
          <w:lang w:eastAsia="ja-JP"/>
        </w:rPr>
        <w:t>もう一方のCl-O</w:t>
      </w:r>
      <w:r>
        <w:rPr>
          <w:spacing w:val="-1"/>
          <w:w w:val="85"/>
          <w:lang w:eastAsia="ja-JP"/>
        </w:rPr>
        <w:t>結合</w:t>
      </w:r>
      <w:r>
        <w:rPr>
          <w:w w:val="80"/>
          <w:lang w:eastAsia="ja-JP"/>
        </w:rPr>
        <w:t>の3電子結合との組み合わせによる単結合</w:t>
      </w:r>
      <w:r>
        <w:rPr>
          <w:w w:val="85"/>
          <w:lang w:eastAsia="ja-JP"/>
        </w:rPr>
        <w:t>の形態を示している。</w:t>
      </w:r>
      <w:r>
        <w:rPr>
          <w:spacing w:val="-1"/>
          <w:w w:val="85"/>
          <w:lang w:eastAsia="ja-JP"/>
        </w:rPr>
        <w:t>不対電子は</w:t>
      </w:r>
      <w:r>
        <w:rPr>
          <w:w w:val="80"/>
          <w:lang w:eastAsia="ja-JP"/>
        </w:rPr>
        <w:t>2つの異なる共鳴構造</w:t>
      </w:r>
      <w:r>
        <w:rPr>
          <w:w w:val="85"/>
          <w:lang w:eastAsia="ja-JP"/>
        </w:rPr>
        <w:t>内の3つの原子の間で共有さ</w:t>
      </w:r>
      <w:r>
        <w:rPr>
          <w:spacing w:val="-1"/>
          <w:w w:val="85"/>
          <w:lang w:eastAsia="ja-JP"/>
        </w:rPr>
        <w:t>れている。</w:t>
      </w:r>
      <w:r>
        <w:rPr>
          <w:w w:val="80"/>
          <w:lang w:eastAsia="ja-JP"/>
        </w:rPr>
        <w:t>1つの電子の密度のほとんどは、1つまたはもう1つのO原子にあります。このユニークな配置により、ClO2は1つの不対電子と2つの反応中心（OとCl）を得て反応する。</w:t>
      </w:r>
    </w:p>
    <w:p w14:paraId="0D657880" w14:textId="77777777" w:rsidR="0092721B" w:rsidRDefault="00D22738">
      <w:pPr>
        <w:pStyle w:val="a3"/>
        <w:spacing w:before="116" w:line="216" w:lineRule="exact"/>
        <w:ind w:right="38"/>
      </w:pPr>
      <w:r>
        <w:rPr>
          <w:color w:val="212121"/>
          <w:w w:val="85"/>
          <w:lang w:eastAsia="ja-JP"/>
        </w:rPr>
        <w:t>二酸化塩素が水に溶けた場合、そのほとんどは加水分解されずに溶存</w:t>
      </w:r>
      <w:r>
        <w:rPr>
          <w:color w:val="212121"/>
          <w:w w:val="80"/>
          <w:lang w:eastAsia="ja-JP"/>
        </w:rPr>
        <w:t>ガスとして溶液中に残る。他の部分は加水分解して、亜塩素酸イオン（ClO</w:t>
      </w:r>
      <w:r>
        <w:rPr>
          <w:color w:val="212121"/>
          <w:w w:val="80"/>
          <w:position w:val="-5"/>
          <w:sz w:val="10"/>
          <w:lang w:eastAsia="ja-JP"/>
        </w:rPr>
        <w:t>2</w:t>
      </w:r>
      <w:r>
        <w:rPr>
          <w:color w:val="212121"/>
          <w:w w:val="80"/>
          <w:lang w:eastAsia="ja-JP"/>
        </w:rPr>
        <w:t>-）と塩素酸イオン（ClO</w:t>
      </w:r>
      <w:r>
        <w:rPr>
          <w:color w:val="212121"/>
          <w:w w:val="80"/>
          <w:position w:val="-5"/>
          <w:sz w:val="10"/>
          <w:lang w:eastAsia="ja-JP"/>
        </w:rPr>
        <w:t>3</w:t>
      </w:r>
      <w:r>
        <w:rPr>
          <w:color w:val="212121"/>
          <w:w w:val="80"/>
          <w:lang w:eastAsia="ja-JP"/>
        </w:rPr>
        <w:t>-）の両方を形成する。二酸化塩素の水への溶解度は、海抜25℃では3g/L（≒3000ppm）に近い。その溶解度は温度が低いほど大きくなる。そのため、濃度が</w:t>
      </w:r>
      <w:r>
        <w:rPr>
          <w:color w:val="212121"/>
          <w:w w:val="85"/>
          <w:lang w:eastAsia="ja-JP"/>
        </w:rPr>
        <w:t>3g/L以上</w:t>
      </w:r>
      <w:r>
        <w:rPr>
          <w:color w:val="212121"/>
          <w:w w:val="80"/>
          <w:lang w:eastAsia="ja-JP"/>
        </w:rPr>
        <w:t>の場合</w:t>
      </w:r>
      <w:r>
        <w:rPr>
          <w:color w:val="212121"/>
          <w:w w:val="85"/>
          <w:lang w:eastAsia="ja-JP"/>
        </w:rPr>
        <w:t>は、5℃近い温度で保管するのが一般的です。</w:t>
      </w:r>
      <w:r>
        <w:rPr>
          <w:color w:val="212121"/>
          <w:w w:val="80"/>
          <w:lang w:eastAsia="ja-JP"/>
        </w:rPr>
        <w:t>純水に溶かして密閉し、光の当たらない低温の場所に置いておくと、ゆっくりと塩素と酸素に分解されていくが、非常に安定している。</w:t>
      </w:r>
      <w:r>
        <w:rPr>
          <w:color w:val="212121"/>
          <w:w w:val="80"/>
        </w:rPr>
        <w:t>塩素はその分解を触媒する。</w:t>
      </w:r>
    </w:p>
    <w:p w14:paraId="08CC7662" w14:textId="77777777" w:rsidR="0092721B" w:rsidRDefault="00D22738">
      <w:pPr>
        <w:pStyle w:val="a3"/>
        <w:spacing w:before="118" w:line="249" w:lineRule="auto"/>
        <w:ind w:right="38"/>
        <w:rPr>
          <w:lang w:eastAsia="ja-JP"/>
        </w:rPr>
      </w:pPr>
      <w:r>
        <w:rPr>
          <w:w w:val="80"/>
          <w:lang w:eastAsia="ja-JP"/>
        </w:rPr>
        <w:t>生体内では、</w:t>
      </w:r>
      <w:r>
        <w:rPr>
          <w:w w:val="80"/>
          <w:vertAlign w:val="subscript"/>
          <w:lang w:eastAsia="ja-JP"/>
        </w:rPr>
        <w:t>ClO2は</w:t>
      </w:r>
      <w:r>
        <w:rPr>
          <w:w w:val="85"/>
          <w:lang w:eastAsia="ja-JP"/>
        </w:rPr>
        <w:t>酸化作用を利用した抗ウイルス剤や微生物剤</w:t>
      </w:r>
      <w:r>
        <w:rPr>
          <w:w w:val="80"/>
          <w:lang w:eastAsia="ja-JP"/>
        </w:rPr>
        <w:t>として重要な役割を果たすと期待されています。</w:t>
      </w:r>
    </w:p>
    <w:p w14:paraId="26E643B4" w14:textId="77777777" w:rsidR="0092721B" w:rsidRDefault="00D22738">
      <w:pPr>
        <w:pStyle w:val="a3"/>
        <w:spacing w:before="115" w:line="249" w:lineRule="auto"/>
        <w:ind w:right="38"/>
        <w:rPr>
          <w:lang w:eastAsia="ja-JP"/>
        </w:rPr>
      </w:pPr>
      <w:r>
        <w:rPr>
          <w:w w:val="80"/>
          <w:lang w:eastAsia="ja-JP"/>
        </w:rPr>
        <w:t>二酸化塩素の治療効果は、そのpHに対する選択性によってもたらされる。</w:t>
      </w:r>
      <w:r>
        <w:rPr>
          <w:w w:val="85"/>
          <w:lang w:eastAsia="ja-JP"/>
        </w:rPr>
        <w:t>これは、この分子が他の酸と接触すると解離して酸素を放出することを意味する。二酸化塩素が反応すると、塩化ナトリウム</w:t>
      </w:r>
      <w:r>
        <w:rPr>
          <w:w w:val="80"/>
          <w:lang w:eastAsia="ja-JP"/>
        </w:rPr>
        <w:t>（一般的な塩）</w:t>
      </w:r>
      <w:r>
        <w:rPr>
          <w:w w:val="85"/>
          <w:lang w:eastAsia="ja-JP"/>
        </w:rPr>
        <w:t>になると同時に</w:t>
      </w:r>
      <w:r>
        <w:rPr>
          <w:w w:val="80"/>
          <w:lang w:eastAsia="ja-JP"/>
        </w:rPr>
        <w:t>酸素が放出され、pHが酸性の病原体（有害な細菌）を酸化（燃焼）させ、アルカリ性の酸化物（「灰」）に変えます。そのため、二酸化塩素が解離すると、赤血球と同じ原理（ボーア効果と呼ばれる）で血液中に酸素が放出され、酸性を選択するようになるのである。血液と同じように、二酸化塩素は、</w:t>
      </w:r>
      <w:r>
        <w:rPr>
          <w:w w:val="85"/>
          <w:lang w:eastAsia="ja-JP"/>
        </w:rPr>
        <w:t>乳酸や病原体の酸に</w:t>
      </w:r>
      <w:r>
        <w:rPr>
          <w:w w:val="80"/>
          <w:lang w:eastAsia="ja-JP"/>
        </w:rPr>
        <w:t>遭遇すると酸素を放出する。</w:t>
      </w:r>
      <w:r>
        <w:rPr>
          <w:w w:val="85"/>
          <w:lang w:eastAsia="ja-JP"/>
        </w:rPr>
        <w:t>ClO2はサイズ選択性のある</w:t>
      </w:r>
      <w:r>
        <w:rPr>
          <w:w w:val="90"/>
          <w:lang w:eastAsia="ja-JP"/>
        </w:rPr>
        <w:t>抗菌剤です。</w:t>
      </w:r>
    </w:p>
    <w:p w14:paraId="6AC00969" w14:textId="77777777" w:rsidR="0092721B" w:rsidRDefault="00D22738">
      <w:pPr>
        <w:pStyle w:val="a3"/>
        <w:spacing w:before="121" w:line="249" w:lineRule="auto"/>
        <w:ind w:right="38"/>
        <w:rPr>
          <w:lang w:eastAsia="ja-JP"/>
        </w:rPr>
      </w:pPr>
      <w:r>
        <w:rPr>
          <w:w w:val="85"/>
          <w:lang w:eastAsia="ja-JP"/>
        </w:rPr>
        <w:t>多細胞組織は、この電荷を散逸させる能力を持っており、同じように影響を受けることはない。二酸化塩素は、オゾンに次いで強力な殺菌剤として知られていますが、オゾン</w:t>
      </w:r>
      <w:r>
        <w:rPr>
          <w:w w:val="80"/>
          <w:lang w:eastAsia="ja-JP"/>
        </w:rPr>
        <w:t>には</w:t>
      </w:r>
      <w:r>
        <w:rPr>
          <w:w w:val="85"/>
          <w:lang w:eastAsia="ja-JP"/>
        </w:rPr>
        <w:t>ないバイオフィルムに浸透して除去する能力があるため、治療用としての使用に適しています。</w:t>
      </w:r>
      <w:r>
        <w:rPr>
          <w:w w:val="80"/>
          <w:lang w:eastAsia="ja-JP"/>
        </w:rPr>
        <w:t>二酸化塩素を治療目的で使用する際の大きな利点は、二酸化塩素に対する細菌の耐性がないことです。防腐剤という点ではオゾンの方が優れていますが、酸化電位が2.07と高く、半減期が25℃、pH値7.0でわずか15分と短いため、</w:t>
      </w:r>
      <w:r>
        <w:rPr>
          <w:i/>
          <w:w w:val="80"/>
          <w:lang w:eastAsia="ja-JP"/>
        </w:rPr>
        <w:t>生体内での</w:t>
      </w:r>
      <w:r>
        <w:rPr>
          <w:w w:val="90"/>
          <w:lang w:eastAsia="ja-JP"/>
        </w:rPr>
        <w:t>治療には</w:t>
      </w:r>
      <w:r>
        <w:rPr>
          <w:w w:val="80"/>
          <w:lang w:eastAsia="ja-JP"/>
        </w:rPr>
        <w:t>あまり効果がありません</w:t>
      </w:r>
      <w:r>
        <w:rPr>
          <w:w w:val="90"/>
          <w:lang w:eastAsia="ja-JP"/>
        </w:rPr>
        <w:t>[11-20]。</w:t>
      </w:r>
    </w:p>
    <w:p w14:paraId="6435E3C0" w14:textId="77777777" w:rsidR="0092721B" w:rsidRDefault="00D22738">
      <w:pPr>
        <w:pStyle w:val="3"/>
        <w:spacing w:before="107" w:line="336" w:lineRule="auto"/>
        <w:ind w:right="1283"/>
        <w:jc w:val="left"/>
        <w:rPr>
          <w:lang w:eastAsia="ja-JP"/>
        </w:rPr>
      </w:pPr>
      <w:r>
        <w:rPr>
          <w:w w:val="80"/>
          <w:lang w:eastAsia="ja-JP"/>
        </w:rPr>
        <w:t xml:space="preserve">二酸化塩素の抗ウイルス効果 </w:t>
      </w:r>
      <w:r>
        <w:rPr>
          <w:w w:val="80"/>
          <w:vertAlign w:val="subscript"/>
          <w:lang w:eastAsia="ja-JP"/>
        </w:rPr>
        <w:t>ClO2</w:t>
      </w:r>
      <w:r>
        <w:rPr>
          <w:w w:val="80"/>
          <w:lang w:eastAsia="ja-JP"/>
        </w:rPr>
        <w:t>の抗ウイルス作用のメカニズム</w:t>
      </w:r>
    </w:p>
    <w:p w14:paraId="026F1817" w14:textId="77777777" w:rsidR="0092721B" w:rsidRDefault="00D22738">
      <w:pPr>
        <w:pStyle w:val="a3"/>
        <w:spacing w:before="12" w:line="249" w:lineRule="auto"/>
        <w:ind w:right="38"/>
        <w:rPr>
          <w:lang w:eastAsia="ja-JP"/>
        </w:rPr>
      </w:pPr>
      <w:r>
        <w:rPr>
          <w:w w:val="85"/>
          <w:vertAlign w:val="subscript"/>
          <w:lang w:eastAsia="ja-JP"/>
        </w:rPr>
        <w:t>ClO2は</w:t>
      </w:r>
      <w:r>
        <w:rPr>
          <w:w w:val="85"/>
          <w:lang w:eastAsia="ja-JP"/>
        </w:rPr>
        <w:t>、その酸化化学作用によって抗ウイルス活性を示す。ウイルスは、外殻やシェルと内側の核酸コアから構成されています。ウイルスのエンベロープは、タンパク質、脂質二重層、多糖類などで構成され、エンベロープは、</w:t>
      </w:r>
      <w:r>
        <w:rPr>
          <w:w w:val="80"/>
          <w:lang w:eastAsia="ja-JP"/>
        </w:rPr>
        <w:t>選択的結合や受容体細胞の認識</w:t>
      </w:r>
      <w:r>
        <w:rPr>
          <w:w w:val="85"/>
          <w:lang w:eastAsia="ja-JP"/>
        </w:rPr>
        <w:t>を提供することに加えて、核酸コアを保護しています。ウイルスの</w:t>
      </w:r>
      <w:r>
        <w:rPr>
          <w:w w:val="80"/>
          <w:lang w:eastAsia="ja-JP"/>
        </w:rPr>
        <w:t>エンベロープや核酸核を変化させたり変更したりすると、ウイルスの感染様式が崩れる。</w:t>
      </w:r>
    </w:p>
    <w:p w14:paraId="7AFBEDF0" w14:textId="77777777" w:rsidR="0092721B" w:rsidRDefault="00D22738">
      <w:pPr>
        <w:pStyle w:val="a3"/>
        <w:spacing w:before="117"/>
        <w:ind w:left="413" w:firstLine="0"/>
        <w:jc w:val="left"/>
        <w:rPr>
          <w:lang w:eastAsia="ja-JP"/>
        </w:rPr>
      </w:pPr>
      <w:r>
        <w:rPr>
          <w:w w:val="85"/>
          <w:lang w:eastAsia="ja-JP"/>
        </w:rPr>
        <w:t>SARS-CoV-2の場合は、糖鎖のエンベロープがそれを包み込み</w:t>
      </w:r>
    </w:p>
    <w:p w14:paraId="2DE40A40" w14:textId="77777777" w:rsidR="0092721B" w:rsidRDefault="00D22738">
      <w:pPr>
        <w:pStyle w:val="a3"/>
        <w:spacing w:before="105" w:line="249" w:lineRule="auto"/>
        <w:ind w:right="124" w:firstLine="0"/>
        <w:rPr>
          <w:lang w:eastAsia="ja-JP"/>
        </w:rPr>
      </w:pPr>
      <w:r>
        <w:rPr>
          <w:lang w:eastAsia="ja-JP"/>
        </w:rPr>
        <w:br w:type="column"/>
      </w:r>
      <w:r>
        <w:rPr>
          <w:w w:val="80"/>
          <w:lang w:eastAsia="ja-JP"/>
        </w:rPr>
        <w:t>がさらに保護しているため、他のウイルスよりも攻撃されにくくなっています。</w:t>
      </w:r>
      <w:r>
        <w:rPr>
          <w:w w:val="85"/>
          <w:lang w:eastAsia="ja-JP"/>
        </w:rPr>
        <w:t>スパイクルタンパク質の表面全体の約70％は糖鎖で覆われている。SARS-CoV-2の場合、糖鎖は2倍必須である。SARS-CoV-2の場合、糖鎖は2倍重要である。まず、糖鎖は、</w:t>
      </w:r>
      <w:hyperlink r:id="rId16">
        <w:r>
          <w:rPr>
            <w:w w:val="85"/>
            <w:lang w:eastAsia="ja-JP"/>
          </w:rPr>
          <w:t>感染を開始するプロセスである、私たちの細胞上のACE2受容体との</w:t>
        </w:r>
      </w:hyperlink>
      <w:r>
        <w:rPr>
          <w:w w:val="85"/>
          <w:lang w:eastAsia="ja-JP"/>
        </w:rPr>
        <w:t>適合を可能にする構造でスパイクルを安定させるからである。</w:t>
      </w:r>
      <w:r>
        <w:rPr>
          <w:w w:val="80"/>
          <w:lang w:eastAsia="ja-JP"/>
        </w:rPr>
        <w:t>表面からいくつかの糖鎖を取り除く</w:t>
      </w:r>
      <w:r>
        <w:rPr>
          <w:w w:val="85"/>
          <w:lang w:eastAsia="ja-JP"/>
        </w:rPr>
        <w:t>ことで、</w:t>
      </w:r>
      <w:r>
        <w:rPr>
          <w:w w:val="80"/>
          <w:lang w:eastAsia="ja-JP"/>
        </w:rPr>
        <w:t>スピキュールタンパク質は不安定になり、</w:t>
      </w:r>
      <w:r>
        <w:rPr>
          <w:w w:val="85"/>
          <w:lang w:eastAsia="ja-JP"/>
        </w:rPr>
        <w:t>さらに、これらの受容体との結合が弱くなる。</w:t>
      </w:r>
    </w:p>
    <w:p w14:paraId="2069FF9C" w14:textId="77777777" w:rsidR="0092721B" w:rsidRDefault="00D22738">
      <w:pPr>
        <w:pStyle w:val="a3"/>
        <w:spacing w:before="118" w:line="249" w:lineRule="auto"/>
        <w:ind w:right="124"/>
        <w:rPr>
          <w:lang w:eastAsia="ja-JP"/>
        </w:rPr>
      </w:pPr>
      <w:r>
        <w:rPr>
          <w:w w:val="80"/>
          <w:lang w:eastAsia="ja-JP"/>
        </w:rPr>
        <w:t>著者の一人(B.Bolano)は、世界中で何百人もの医師が症例を報告しているcovid19後症候群の改善を説明する可能性として、Cl02がインフラマソーム、あるいはNETosisのレベルで作用している可能性に注目し、covid後症候群の研究を進めています。これらの知見と</w:t>
      </w:r>
      <w:r>
        <w:rPr>
          <w:w w:val="80"/>
          <w:vertAlign w:val="subscript"/>
          <w:lang w:eastAsia="ja-JP"/>
        </w:rPr>
        <w:t>ClO2</w:t>
      </w:r>
      <w:r>
        <w:rPr>
          <w:w w:val="80"/>
          <w:lang w:eastAsia="ja-JP"/>
        </w:rPr>
        <w:t>の抗炎症作用のメカニズムとの関連性や根拠については、</w:t>
      </w:r>
      <w:r>
        <w:rPr>
          <w:w w:val="90"/>
          <w:lang w:eastAsia="ja-JP"/>
        </w:rPr>
        <w:t>現時点では</w:t>
      </w:r>
      <w:r>
        <w:rPr>
          <w:w w:val="80"/>
          <w:lang w:eastAsia="ja-JP"/>
        </w:rPr>
        <w:t>不明です。</w:t>
      </w:r>
    </w:p>
    <w:p w14:paraId="1D7FCCA8" w14:textId="77777777" w:rsidR="0092721B" w:rsidRDefault="00D22738">
      <w:pPr>
        <w:pStyle w:val="a3"/>
        <w:spacing w:before="119" w:line="249" w:lineRule="auto"/>
        <w:ind w:right="124"/>
        <w:rPr>
          <w:lang w:eastAsia="ja-JP"/>
        </w:rPr>
      </w:pPr>
      <w:r>
        <w:rPr>
          <w:w w:val="85"/>
          <w:lang w:eastAsia="ja-JP"/>
        </w:rPr>
        <w:t>作用機序をより深く追求するために、SARS-CoV-2の細胞内での作用、hACE2との相互作用、そして、作用場所を立体的に表現している発表論文（pubmed、google scholarなどの検索エンジン）を選びました。 特に、作用</w:t>
      </w:r>
      <w:r>
        <w:rPr>
          <w:w w:val="80"/>
          <w:lang w:eastAsia="ja-JP"/>
        </w:rPr>
        <w:t>場所を立体的に表現するために、拡張</w:t>
      </w:r>
      <w:r>
        <w:rPr>
          <w:w w:val="90"/>
          <w:lang w:eastAsia="ja-JP"/>
        </w:rPr>
        <w:t>現実ソフト</w:t>
      </w:r>
      <w:r>
        <w:rPr>
          <w:w w:val="80"/>
          <w:lang w:eastAsia="ja-JP"/>
        </w:rPr>
        <w:t>ChimeraX（UCSF）を用いて、</w:t>
      </w:r>
      <w:r>
        <w:rPr>
          <w:w w:val="85"/>
          <w:lang w:eastAsia="ja-JP"/>
        </w:rPr>
        <w:t>スピキュラータンパク質やhACE2</w:t>
      </w:r>
      <w:r>
        <w:rPr>
          <w:w w:val="80"/>
          <w:lang w:eastAsia="ja-JP"/>
        </w:rPr>
        <w:t>受容体を操作して</w:t>
      </w:r>
      <w:r>
        <w:rPr>
          <w:w w:val="85"/>
          <w:lang w:eastAsia="ja-JP"/>
        </w:rPr>
        <w:t>いる動画など、拡張現実動画や</w:t>
      </w:r>
      <w:r>
        <w:rPr>
          <w:w w:val="80"/>
          <w:lang w:eastAsia="ja-JP"/>
        </w:rPr>
        <w:t>シリコンを用いた</w:t>
      </w:r>
      <w:r>
        <w:rPr>
          <w:w w:val="85"/>
          <w:lang w:eastAsia="ja-JP"/>
        </w:rPr>
        <w:t>シミュレーション</w:t>
      </w:r>
      <w:r>
        <w:rPr>
          <w:w w:val="80"/>
          <w:lang w:eastAsia="ja-JP"/>
        </w:rPr>
        <w:t>動画</w:t>
      </w:r>
      <w:r>
        <w:rPr>
          <w:w w:val="85"/>
          <w:lang w:eastAsia="ja-JP"/>
        </w:rPr>
        <w:t>を調査しました。</w:t>
      </w:r>
    </w:p>
    <w:p w14:paraId="4ADAF95C" w14:textId="77777777" w:rsidR="0092721B" w:rsidRDefault="00D22738">
      <w:pPr>
        <w:pStyle w:val="a3"/>
        <w:spacing w:before="110" w:line="249" w:lineRule="auto"/>
        <w:ind w:right="125"/>
        <w:rPr>
          <w:lang w:eastAsia="ja-JP"/>
        </w:rPr>
      </w:pPr>
      <w:r>
        <w:rPr>
          <w:w w:val="85"/>
          <w:lang w:eastAsia="ja-JP"/>
        </w:rPr>
        <w:t>同様に、ウイルスのスパイクの構造を見直し、</w:t>
      </w:r>
      <w:r>
        <w:rPr>
          <w:w w:val="80"/>
          <w:lang w:eastAsia="ja-JP"/>
        </w:rPr>
        <w:t>テキサス大学のDaniel Wrapp氏とJason S. McLellan氏の研究を参考にしました。</w:t>
      </w:r>
    </w:p>
    <w:p w14:paraId="4D9D1E54" w14:textId="77777777" w:rsidR="0092721B" w:rsidRDefault="00D22738">
      <w:pPr>
        <w:pStyle w:val="a3"/>
        <w:spacing w:before="113" w:line="249" w:lineRule="auto"/>
        <w:ind w:right="124"/>
        <w:rPr>
          <w:lang w:eastAsia="ja-JP"/>
        </w:rPr>
      </w:pPr>
      <w:r>
        <w:rPr>
          <w:w w:val="80"/>
          <w:lang w:eastAsia="ja-JP"/>
        </w:rPr>
        <w:t>SARS-CoV-2ベタコロナウイルスのスピキュラーS糖タンパク質の3次元画像が、電子顕微鏡で記録的な</w:t>
      </w:r>
      <w:r>
        <w:rPr>
          <w:w w:val="85"/>
          <w:lang w:eastAsia="ja-JP"/>
        </w:rPr>
        <w:t>速さで</w:t>
      </w:r>
      <w:r>
        <w:rPr>
          <w:w w:val="80"/>
          <w:lang w:eastAsia="ja-JP"/>
        </w:rPr>
        <w:t>見られた。</w:t>
      </w:r>
      <w:r>
        <w:rPr>
          <w:w w:val="85"/>
          <w:lang w:eastAsia="ja-JP"/>
        </w:rPr>
        <w:t>3.5Åの分解能を持つこの画像のおかげで、この</w:t>
      </w:r>
      <w:r>
        <w:rPr>
          <w:w w:val="80"/>
          <w:lang w:eastAsia="ja-JP"/>
        </w:rPr>
        <w:t>Sタンパク質は、</w:t>
      </w:r>
      <w:r>
        <w:rPr>
          <w:w w:val="85"/>
          <w:lang w:eastAsia="ja-JP"/>
        </w:rPr>
        <w:t>SARS-CoVコロナウイルスのもの</w:t>
      </w:r>
      <w:r>
        <w:rPr>
          <w:w w:val="80"/>
          <w:lang w:eastAsia="ja-JP"/>
        </w:rPr>
        <w:t>よりも高い親和性で、ヒト細胞のhACE2タンパク質に結合する</w:t>
      </w:r>
      <w:r>
        <w:rPr>
          <w:w w:val="85"/>
          <w:lang w:eastAsia="ja-JP"/>
        </w:rPr>
        <w:t>ことが確認された。プロテインSは、</w:t>
      </w:r>
      <w:r>
        <w:rPr>
          <w:w w:val="80"/>
          <w:lang w:eastAsia="ja-JP"/>
        </w:rPr>
        <w:t>私たちを免疫する</w:t>
      </w:r>
      <w:r>
        <w:rPr>
          <w:w w:val="85"/>
          <w:lang w:eastAsia="ja-JP"/>
        </w:rPr>
        <w:t>抗体の標的である。</w:t>
      </w:r>
      <w:r>
        <w:rPr>
          <w:w w:val="80"/>
          <w:lang w:eastAsia="ja-JP"/>
        </w:rPr>
        <w:t>その立体構造から、</w:t>
      </w:r>
      <w:r>
        <w:rPr>
          <w:spacing w:val="-2"/>
          <w:w w:val="80"/>
          <w:lang w:eastAsia="ja-JP"/>
        </w:rPr>
        <w:t>SARS-CoVに対して発表された</w:t>
      </w:r>
      <w:r>
        <w:rPr>
          <w:w w:val="80"/>
          <w:lang w:eastAsia="ja-JP"/>
        </w:rPr>
        <w:t>モノクローナル</w:t>
      </w:r>
      <w:r>
        <w:rPr>
          <w:spacing w:val="-2"/>
          <w:w w:val="80"/>
          <w:lang w:eastAsia="ja-JP"/>
        </w:rPr>
        <w:t>抗体</w:t>
      </w:r>
      <w:r>
        <w:rPr>
          <w:spacing w:val="-1"/>
          <w:w w:val="80"/>
          <w:lang w:eastAsia="ja-JP"/>
        </w:rPr>
        <w:t>がSARS-CoV-2に有効でない</w:t>
      </w:r>
      <w:r>
        <w:rPr>
          <w:w w:val="80"/>
          <w:lang w:eastAsia="ja-JP"/>
        </w:rPr>
        <w:t>理由を理解することができる。</w:t>
      </w:r>
    </w:p>
    <w:p w14:paraId="1FA1698A" w14:textId="77777777" w:rsidR="0092721B" w:rsidRDefault="00D22738">
      <w:pPr>
        <w:pStyle w:val="a3"/>
        <w:spacing w:before="5"/>
        <w:ind w:left="0" w:firstLine="0"/>
        <w:jc w:val="left"/>
        <w:rPr>
          <w:sz w:val="22"/>
          <w:lang w:eastAsia="ja-JP"/>
        </w:rPr>
      </w:pPr>
      <w:r>
        <w:rPr>
          <w:noProof/>
        </w:rPr>
        <w:drawing>
          <wp:anchor distT="0" distB="0" distL="0" distR="0" simplePos="0" relativeHeight="6" behindDoc="0" locked="0" layoutInCell="1" allowOverlap="1" wp14:anchorId="6F4EEB2A" wp14:editId="41A0A058">
            <wp:simplePos x="0" y="0"/>
            <wp:positionH relativeFrom="page">
              <wp:posOffset>4016647</wp:posOffset>
            </wp:positionH>
            <wp:positionV relativeFrom="paragraph">
              <wp:posOffset>179112</wp:posOffset>
            </wp:positionV>
            <wp:extent cx="3144896" cy="3810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3144896" cy="3810000"/>
                    </a:xfrm>
                    <a:prstGeom prst="rect">
                      <a:avLst/>
                    </a:prstGeom>
                  </pic:spPr>
                </pic:pic>
              </a:graphicData>
            </a:graphic>
          </wp:anchor>
        </w:drawing>
      </w:r>
    </w:p>
    <w:p w14:paraId="0E5A91A0" w14:textId="77777777" w:rsidR="0092721B" w:rsidRDefault="0092721B">
      <w:pPr>
        <w:pStyle w:val="a3"/>
        <w:spacing w:before="1"/>
        <w:ind w:left="0" w:firstLine="0"/>
        <w:jc w:val="left"/>
        <w:rPr>
          <w:sz w:val="19"/>
          <w:lang w:eastAsia="ja-JP"/>
        </w:rPr>
      </w:pPr>
    </w:p>
    <w:p w14:paraId="43916D55" w14:textId="77777777" w:rsidR="0092721B" w:rsidRDefault="00D22738">
      <w:pPr>
        <w:pStyle w:val="a3"/>
        <w:spacing w:before="1" w:line="249" w:lineRule="auto"/>
        <w:ind w:right="124" w:firstLine="0"/>
        <w:rPr>
          <w:lang w:eastAsia="ja-JP"/>
        </w:rPr>
      </w:pPr>
      <w:r>
        <w:rPr>
          <w:b/>
          <w:w w:val="85"/>
          <w:lang w:eastAsia="ja-JP"/>
        </w:rPr>
        <w:t>図1：</w:t>
      </w:r>
      <w:r>
        <w:rPr>
          <w:w w:val="85"/>
          <w:lang w:eastAsia="ja-JP"/>
        </w:rPr>
        <w:t>（A）.点群(C2v)を持つClO2分子の幾何学的構造。</w:t>
      </w:r>
      <w:r>
        <w:rPr>
          <w:spacing w:val="-1"/>
          <w:w w:val="85"/>
          <w:lang w:eastAsia="ja-JP"/>
        </w:rPr>
        <w:t>結合角</w:t>
      </w:r>
      <w:r>
        <w:rPr>
          <w:w w:val="85"/>
          <w:lang w:eastAsia="ja-JP"/>
        </w:rPr>
        <w:t>aは117.6O、結合長dは147.3pm。(B).</w:t>
      </w:r>
      <w:r>
        <w:rPr>
          <w:w w:val="80"/>
          <w:lang w:eastAsia="ja-JP"/>
        </w:rPr>
        <w:t>ClO2の</w:t>
      </w:r>
      <w:r>
        <w:rPr>
          <w:w w:val="85"/>
          <w:lang w:eastAsia="ja-JP"/>
        </w:rPr>
        <w:t>2つの</w:t>
      </w:r>
      <w:r>
        <w:rPr>
          <w:w w:val="80"/>
          <w:lang w:eastAsia="ja-JP"/>
        </w:rPr>
        <w:t>共鳴構造が図示されており、酸素原子を中心とする不対電子が3つの原子の間で共有されていることがわかる。</w:t>
      </w:r>
    </w:p>
    <w:p w14:paraId="3D1C3749" w14:textId="77777777" w:rsidR="0092721B" w:rsidRDefault="0092721B">
      <w:pPr>
        <w:spacing w:line="249" w:lineRule="auto"/>
        <w:rPr>
          <w:lang w:eastAsia="ja-JP"/>
        </w:rPr>
        <w:sectPr w:rsidR="0092721B">
          <w:type w:val="continuous"/>
          <w:pgSz w:w="11910" w:h="16840"/>
          <w:pgMar w:top="760" w:right="440" w:bottom="280" w:left="720" w:header="814" w:footer="686" w:gutter="0"/>
          <w:cols w:num="2" w:space="720" w:equalWidth="0">
            <w:col w:w="5246" w:space="168"/>
            <w:col w:w="5336"/>
          </w:cols>
        </w:sectPr>
      </w:pPr>
    </w:p>
    <w:p w14:paraId="7E81CA73" w14:textId="77777777" w:rsidR="0092721B" w:rsidRDefault="0092721B">
      <w:pPr>
        <w:pStyle w:val="a3"/>
        <w:spacing w:before="7"/>
        <w:ind w:left="0" w:firstLine="0"/>
        <w:jc w:val="left"/>
        <w:rPr>
          <w:sz w:val="14"/>
          <w:lang w:eastAsia="ja-JP"/>
        </w:rPr>
      </w:pPr>
    </w:p>
    <w:p w14:paraId="5440A34C" w14:textId="77777777" w:rsidR="0092721B" w:rsidRDefault="0092721B">
      <w:pPr>
        <w:rPr>
          <w:sz w:val="14"/>
          <w:lang w:eastAsia="ja-JP"/>
        </w:rPr>
        <w:sectPr w:rsidR="0092721B">
          <w:pgSz w:w="11910" w:h="16840"/>
          <w:pgMar w:top="1080" w:right="440" w:bottom="880" w:left="720" w:header="814" w:footer="686" w:gutter="0"/>
          <w:cols w:space="720"/>
        </w:sectPr>
      </w:pPr>
    </w:p>
    <w:p w14:paraId="4EC58ED3" w14:textId="77777777" w:rsidR="0092721B" w:rsidRDefault="00D22738">
      <w:pPr>
        <w:pStyle w:val="a3"/>
        <w:spacing w:before="104" w:line="249" w:lineRule="auto"/>
        <w:ind w:right="43"/>
        <w:rPr>
          <w:lang w:eastAsia="ja-JP"/>
        </w:rPr>
      </w:pPr>
      <w:r>
        <w:rPr>
          <w:w w:val="85"/>
          <w:lang w:eastAsia="ja-JP"/>
        </w:rPr>
        <w:t>これらの情報をもとに、</w:t>
      </w:r>
      <w:r>
        <w:rPr>
          <w:w w:val="80"/>
          <w:lang w:eastAsia="ja-JP"/>
        </w:rPr>
        <w:t>日本の筑波大学の分子生物学</w:t>
      </w:r>
      <w:r>
        <w:rPr>
          <w:w w:val="85"/>
          <w:lang w:eastAsia="ja-JP"/>
        </w:rPr>
        <w:t>博士と一緒に</w:t>
      </w:r>
      <w:r>
        <w:rPr>
          <w:w w:val="80"/>
          <w:lang w:eastAsia="ja-JP"/>
        </w:rPr>
        <w:t>、</w:t>
      </w:r>
      <w:r>
        <w:rPr>
          <w:w w:val="85"/>
          <w:lang w:eastAsia="ja-JP"/>
        </w:rPr>
        <w:t>二酸化塩素がSARS-CoV-2にどのように作用するかという仮説を</w:t>
      </w:r>
      <w:r>
        <w:rPr>
          <w:w w:val="80"/>
          <w:lang w:eastAsia="ja-JP"/>
        </w:rPr>
        <w:t>構築するための</w:t>
      </w:r>
      <w:r>
        <w:rPr>
          <w:w w:val="85"/>
          <w:lang w:eastAsia="ja-JP"/>
        </w:rPr>
        <w:t>研究を行いまし</w:t>
      </w:r>
      <w:r>
        <w:rPr>
          <w:w w:val="80"/>
          <w:lang w:eastAsia="ja-JP"/>
        </w:rPr>
        <w:t>た</w:t>
      </w:r>
      <w:r>
        <w:rPr>
          <w:w w:val="85"/>
          <w:lang w:eastAsia="ja-JP"/>
        </w:rPr>
        <w:t xml:space="preserve">（Insignares - </w:t>
      </w:r>
      <w:r>
        <w:rPr>
          <w:w w:val="80"/>
          <w:lang w:eastAsia="ja-JP"/>
        </w:rPr>
        <w:t>Carrione et al , 2020）。その結果、</w:t>
      </w:r>
      <w:r>
        <w:rPr>
          <w:w w:val="85"/>
          <w:lang w:eastAsia="ja-JP"/>
        </w:rPr>
        <w:t>その構造と感染メカニズムには</w:t>
      </w:r>
      <w:r>
        <w:rPr>
          <w:w w:val="80"/>
          <w:lang w:eastAsia="ja-JP"/>
        </w:rPr>
        <w:t>優れた相関関係があること</w:t>
      </w:r>
      <w:r>
        <w:rPr>
          <w:w w:val="85"/>
          <w:lang w:eastAsia="ja-JP"/>
        </w:rPr>
        <w:t>や、</w:t>
      </w:r>
      <w:r>
        <w:rPr>
          <w:w w:val="80"/>
          <w:lang w:eastAsia="ja-JP"/>
        </w:rPr>
        <w:t>コヴィド19の治療</w:t>
      </w:r>
      <w:r>
        <w:rPr>
          <w:w w:val="85"/>
          <w:lang w:eastAsia="ja-JP"/>
        </w:rPr>
        <w:t>に有望な物質や薬剤の作用部位を決定することなど</w:t>
      </w:r>
      <w:r>
        <w:rPr>
          <w:w w:val="80"/>
          <w:lang w:eastAsia="ja-JP"/>
        </w:rPr>
        <w:t>がわかりましたが、しかし、</w:t>
      </w:r>
      <w:r>
        <w:rPr>
          <w:w w:val="85"/>
          <w:lang w:eastAsia="ja-JP"/>
        </w:rPr>
        <w:t>実験したどの薬剤でもその迅速な制御</w:t>
      </w:r>
      <w:r>
        <w:rPr>
          <w:w w:val="80"/>
          <w:lang w:eastAsia="ja-JP"/>
        </w:rPr>
        <w:t>には期待した結果が得られていません。バイオインフォ</w:t>
      </w:r>
      <w:r>
        <w:rPr>
          <w:w w:val="85"/>
          <w:lang w:eastAsia="ja-JP"/>
        </w:rPr>
        <w:t>マティクスとは、生物学的データを用いて、</w:t>
      </w:r>
      <w:r>
        <w:rPr>
          <w:w w:val="80"/>
          <w:lang w:eastAsia="ja-JP"/>
        </w:rPr>
        <w:t>核酸やタンパク質の進化、構造、機能、制御など</w:t>
      </w:r>
      <w:r>
        <w:rPr>
          <w:w w:val="85"/>
          <w:lang w:eastAsia="ja-JP"/>
        </w:rPr>
        <w:t>、幅広いスケールの生物学的問題を</w:t>
      </w:r>
      <w:r>
        <w:rPr>
          <w:w w:val="80"/>
          <w:lang w:eastAsia="ja-JP"/>
        </w:rPr>
        <w:t>計算機的手法を用いて</w:t>
      </w:r>
      <w:r>
        <w:rPr>
          <w:w w:val="85"/>
          <w:lang w:eastAsia="ja-JP"/>
        </w:rPr>
        <w:t>研究するツールです。</w:t>
      </w:r>
      <w:r>
        <w:rPr>
          <w:w w:val="80"/>
          <w:lang w:eastAsia="ja-JP"/>
        </w:rPr>
        <w:t>日本での研究では、インシリコ解析を行っています。インシリコ解析とは、細胞内や分子内</w:t>
      </w:r>
      <w:r>
        <w:rPr>
          <w:w w:val="85"/>
          <w:lang w:eastAsia="ja-JP"/>
        </w:rPr>
        <w:t>プロセス</w:t>
      </w:r>
      <w:r>
        <w:rPr>
          <w:w w:val="80"/>
          <w:lang w:eastAsia="ja-JP"/>
        </w:rPr>
        <w:t>のダイナミクスに関する情報を提供するだけでなく</w:t>
      </w:r>
      <w:r>
        <w:rPr>
          <w:w w:val="85"/>
          <w:lang w:eastAsia="ja-JP"/>
        </w:rPr>
        <w:t>、最終的には</w:t>
      </w:r>
      <w:r>
        <w:rPr>
          <w:w w:val="80"/>
          <w:lang w:eastAsia="ja-JP"/>
        </w:rPr>
        <w:t>分子間の相互作用</w:t>
      </w:r>
      <w:r>
        <w:rPr>
          <w:w w:val="85"/>
          <w:lang w:eastAsia="ja-JP"/>
        </w:rPr>
        <w:t>から生物学的挙動を予測することができる、</w:t>
      </w:r>
      <w:r>
        <w:rPr>
          <w:w w:val="80"/>
          <w:lang w:eastAsia="ja-JP"/>
        </w:rPr>
        <w:t>包括的な定量的アプローチです。これは、二酸化塩素のスパイクとSARS-CoV-2のRNAに対する作用メカニズムを理解するために、保存ドメイン、構造、機能、生化学的特性に着目することで行われた。これは、細胞内および分子内プロセスのダイナミクスに関する情報を提供するだけでなく、最終的には分子間の相互作用から生物学的挙動を予測することができる完全な定量的アプローチである。これは、二酸化塩素のスパイクとSARS-CoV-2 RNAに対する作用のメカニズムを理解するために、保存されたドメイン、構造、機能、生化学的特性に着目することで行われました。これは、細胞</w:t>
      </w:r>
      <w:r>
        <w:rPr>
          <w:w w:val="85"/>
          <w:lang w:eastAsia="ja-JP"/>
        </w:rPr>
        <w:t>内および分子内プロセスのダイナミクスに関する情報を提供するだけでなく、最終的には</w:t>
      </w:r>
      <w:r>
        <w:rPr>
          <w:w w:val="80"/>
          <w:lang w:eastAsia="ja-JP"/>
        </w:rPr>
        <w:t>分子間の相互作用から</w:t>
      </w:r>
      <w:r>
        <w:rPr>
          <w:w w:val="85"/>
          <w:lang w:eastAsia="ja-JP"/>
        </w:rPr>
        <w:t>生物学的</w:t>
      </w:r>
      <w:r>
        <w:rPr>
          <w:w w:val="80"/>
          <w:lang w:eastAsia="ja-JP"/>
        </w:rPr>
        <w:t>挙動を予測することが</w:t>
      </w:r>
      <w:r>
        <w:rPr>
          <w:w w:val="85"/>
          <w:lang w:eastAsia="ja-JP"/>
        </w:rPr>
        <w:t>できる</w:t>
      </w:r>
      <w:r>
        <w:rPr>
          <w:w w:val="80"/>
          <w:lang w:eastAsia="ja-JP"/>
        </w:rPr>
        <w:t>完全な定量的</w:t>
      </w:r>
      <w:r>
        <w:rPr>
          <w:w w:val="85"/>
          <w:lang w:eastAsia="ja-JP"/>
        </w:rPr>
        <w:t>アプローチです。</w:t>
      </w:r>
      <w:r>
        <w:rPr>
          <w:w w:val="80"/>
          <w:lang w:eastAsia="ja-JP"/>
        </w:rPr>
        <w:t>今回の研究では、</w:t>
      </w:r>
      <w:r>
        <w:rPr>
          <w:w w:val="85"/>
          <w:lang w:eastAsia="ja-JP"/>
        </w:rPr>
        <w:t>二酸化塩素がスパイクと</w:t>
      </w:r>
      <w:r>
        <w:rPr>
          <w:w w:val="90"/>
          <w:lang w:eastAsia="ja-JP"/>
        </w:rPr>
        <w:t>SARS-CoV-2 RNA</w:t>
      </w:r>
      <w:r>
        <w:rPr>
          <w:w w:val="85"/>
          <w:lang w:eastAsia="ja-JP"/>
        </w:rPr>
        <w:t>に作用するメカニズムを理解するために、</w:t>
      </w:r>
      <w:r>
        <w:rPr>
          <w:spacing w:val="-1"/>
          <w:w w:val="85"/>
          <w:lang w:eastAsia="ja-JP"/>
        </w:rPr>
        <w:t>保存された</w:t>
      </w:r>
      <w:r>
        <w:rPr>
          <w:w w:val="85"/>
          <w:lang w:eastAsia="ja-JP"/>
        </w:rPr>
        <w:t>ドメイン、構造、機能、生化学的特性</w:t>
      </w:r>
      <w:r>
        <w:rPr>
          <w:w w:val="80"/>
          <w:lang w:eastAsia="ja-JP"/>
        </w:rPr>
        <w:t>に着目してこれを行った</w:t>
      </w:r>
      <w:r>
        <w:rPr>
          <w:w w:val="90"/>
          <w:lang w:eastAsia="ja-JP"/>
        </w:rPr>
        <w:t>（図2）。</w:t>
      </w:r>
    </w:p>
    <w:p w14:paraId="0C0503EE" w14:textId="77777777" w:rsidR="0092721B" w:rsidRDefault="00D22738">
      <w:pPr>
        <w:pStyle w:val="a3"/>
        <w:spacing w:before="103" w:line="249" w:lineRule="auto"/>
        <w:ind w:right="43"/>
        <w:rPr>
          <w:lang w:eastAsia="ja-JP"/>
        </w:rPr>
      </w:pPr>
      <w:r>
        <w:rPr>
          <w:w w:val="85"/>
          <w:lang w:eastAsia="ja-JP"/>
        </w:rPr>
        <w:t>このような解析は、RNAの複製に関する情報を提供するだけでなく、スパイクとhACE2受容体の相互関係のダイナミクスをシミュレートすることができます。調査は、ウイルスRNAのヌクレオチド配列から始まり、オープンリーディングフレーム（ORF）が決定されました。これを</w:t>
      </w:r>
      <w:r>
        <w:rPr>
          <w:w w:val="80"/>
          <w:lang w:eastAsia="ja-JP"/>
        </w:rPr>
        <w:t>解析すると、グアニンが酸化されて8-オキソグアニンになっていることがわかりました。他の</w:t>
      </w:r>
      <w:r>
        <w:rPr>
          <w:w w:val="85"/>
          <w:lang w:eastAsia="ja-JP"/>
        </w:rPr>
        <w:t>塩基は修飾されていなかった。二酸化塩素によって酸化されたアミノ酸は、ヘリックス、S1、S2、RBD、hACE2に位置するスパイクに見られ、二酸化塩素によって</w:t>
      </w:r>
      <w:r>
        <w:rPr>
          <w:w w:val="80"/>
          <w:lang w:eastAsia="ja-JP"/>
        </w:rPr>
        <w:t>達成された臨床的改善のほぼ即効性を説明することができる</w:t>
      </w:r>
      <w:r>
        <w:rPr>
          <w:w w:val="85"/>
          <w:lang w:eastAsia="ja-JP"/>
        </w:rPr>
        <w:t>（Insignares - Carrione et al, 2020）。</w:t>
      </w:r>
    </w:p>
    <w:p w14:paraId="37747BAE" w14:textId="77777777" w:rsidR="0092721B" w:rsidRDefault="00D22738">
      <w:pPr>
        <w:pStyle w:val="a3"/>
        <w:spacing w:before="113" w:line="249" w:lineRule="auto"/>
        <w:ind w:right="43"/>
        <w:rPr>
          <w:lang w:eastAsia="ja-JP"/>
        </w:rPr>
      </w:pPr>
      <w:r>
        <w:rPr>
          <w:w w:val="80"/>
          <w:lang w:eastAsia="ja-JP"/>
        </w:rPr>
        <w:t>チオール類に属するシステインは、他の4つのアミノ酸に比べてすべての微生物系との反応性が50倍にも達するアミノ酸であり、二酸化塩素に対する抵抗力を生み出すことは不可能である。</w:t>
      </w:r>
    </w:p>
    <w:p w14:paraId="0AB9A139" w14:textId="77777777" w:rsidR="0092721B" w:rsidRDefault="00D22738">
      <w:pPr>
        <w:pStyle w:val="a3"/>
        <w:spacing w:before="115" w:line="249" w:lineRule="auto"/>
        <w:ind w:right="43"/>
        <w:rPr>
          <w:lang w:eastAsia="ja-JP"/>
        </w:rPr>
      </w:pPr>
      <w:r>
        <w:rPr>
          <w:w w:val="80"/>
          <w:lang w:eastAsia="ja-JP"/>
        </w:rPr>
        <w:t>著者らが提案した仮説（Insignares - Carrione, 2020）は、</w:t>
      </w:r>
      <w:r>
        <w:rPr>
          <w:w w:val="85"/>
          <w:lang w:eastAsia="ja-JP"/>
        </w:rPr>
        <w:t>SARS-CoV-2における二酸化塩素の抗ウイルス効果の原因は、</w:t>
      </w:r>
      <w:r>
        <w:rPr>
          <w:w w:val="80"/>
          <w:lang w:eastAsia="ja-JP"/>
        </w:rPr>
        <w:t>少なくとも5つのアミノ酸（システイン、トリプトファン、</w:t>
      </w:r>
      <w:r>
        <w:rPr>
          <w:w w:val="90"/>
          <w:lang w:eastAsia="ja-JP"/>
        </w:rPr>
        <w:t>チロシン、プロリン、ヒドロキシプロリン）</w:t>
      </w:r>
      <w:r>
        <w:rPr>
          <w:w w:val="80"/>
          <w:lang w:eastAsia="ja-JP"/>
        </w:rPr>
        <w:t>に対する作用で説明</w:t>
      </w:r>
      <w:r>
        <w:rPr>
          <w:w w:val="85"/>
          <w:lang w:eastAsia="ja-JP"/>
        </w:rPr>
        <w:t>できるという</w:t>
      </w:r>
      <w:r>
        <w:rPr>
          <w:w w:val="80"/>
          <w:lang w:eastAsia="ja-JP"/>
        </w:rPr>
        <w:t>ものである。</w:t>
      </w:r>
    </w:p>
    <w:p w14:paraId="0E6AC779" w14:textId="77777777" w:rsidR="0092721B" w:rsidRDefault="00D22738">
      <w:pPr>
        <w:pStyle w:val="3"/>
        <w:spacing w:before="106"/>
        <w:jc w:val="left"/>
        <w:rPr>
          <w:lang w:eastAsia="ja-JP"/>
        </w:rPr>
      </w:pPr>
      <w:r>
        <w:rPr>
          <w:w w:val="90"/>
          <w:lang w:eastAsia="ja-JP"/>
        </w:rPr>
        <w:t>薬物動態</w:t>
      </w:r>
    </w:p>
    <w:p w14:paraId="3173368A" w14:textId="77777777" w:rsidR="0092721B" w:rsidRDefault="00D22738">
      <w:pPr>
        <w:pStyle w:val="a3"/>
        <w:spacing w:before="114" w:line="249" w:lineRule="auto"/>
        <w:ind w:right="43"/>
        <w:rPr>
          <w:lang w:eastAsia="ja-JP"/>
        </w:rPr>
      </w:pPr>
      <w:r>
        <w:rPr>
          <w:w w:val="80"/>
          <w:vertAlign w:val="subscript"/>
          <w:lang w:eastAsia="ja-JP"/>
        </w:rPr>
        <w:t>ClO2</w:t>
      </w:r>
      <w:r>
        <w:rPr>
          <w:w w:val="80"/>
          <w:lang w:eastAsia="ja-JP"/>
        </w:rPr>
        <w:t>の薬物動態は暴露経路によって異なります。Scatinaら（1984）は、ラットの背中に塗布したClO2製剤の経皮吸収を調べました。血漿中のClの最大吸収は72時間後に観察され、血漿中濃度は69.4mcg%Clに達した。吸収半減期は22.1時間と計算され、速度</w:t>
      </w:r>
      <w:r>
        <w:rPr>
          <w:w w:val="90"/>
          <w:lang w:eastAsia="ja-JP"/>
        </w:rPr>
        <w:t>定数は0, 0314 h-1に</w:t>
      </w:r>
      <w:r>
        <w:rPr>
          <w:w w:val="80"/>
          <w:lang w:eastAsia="ja-JP"/>
        </w:rPr>
        <w:t>相当した</w:t>
      </w:r>
      <w:r>
        <w:rPr>
          <w:w w:val="90"/>
          <w:lang w:eastAsia="ja-JP"/>
        </w:rPr>
        <w:t>（図3）。</w:t>
      </w:r>
    </w:p>
    <w:p w14:paraId="2C000DD9" w14:textId="77777777" w:rsidR="0092721B" w:rsidRDefault="00D22738">
      <w:pPr>
        <w:pStyle w:val="a3"/>
        <w:spacing w:before="118" w:line="249" w:lineRule="auto"/>
        <w:ind w:right="43"/>
        <w:rPr>
          <w:lang w:eastAsia="ja-JP"/>
        </w:rPr>
      </w:pPr>
      <w:r>
        <w:rPr>
          <w:w w:val="80"/>
          <w:lang w:eastAsia="ja-JP"/>
        </w:rPr>
        <w:t>FridylandとKagan(1971)は、所定の</w:t>
      </w:r>
      <w:r>
        <w:rPr>
          <w:w w:val="85"/>
          <w:lang w:eastAsia="ja-JP"/>
        </w:rPr>
        <w:t>濃度のClO2を含んだ水で口腔内を洗浄し、</w:t>
      </w:r>
      <w:r>
        <w:rPr>
          <w:w w:val="80"/>
          <w:lang w:eastAsia="ja-JP"/>
        </w:rPr>
        <w:t>洗浄液中のClO2の</w:t>
      </w:r>
      <w:r>
        <w:rPr>
          <w:w w:val="85"/>
          <w:lang w:eastAsia="ja-JP"/>
        </w:rPr>
        <w:t>残留濃度を測定することにより、被験者の口腔</w:t>
      </w:r>
      <w:r>
        <w:rPr>
          <w:w w:val="80"/>
          <w:lang w:eastAsia="ja-JP"/>
        </w:rPr>
        <w:t>内におけるClO2の吸収度合いを測定しました。その結果、最大で30％のClO2が</w:t>
      </w:r>
      <w:r>
        <w:rPr>
          <w:w w:val="90"/>
          <w:lang w:eastAsia="ja-JP"/>
        </w:rPr>
        <w:t>吸収されることがわかりました。</w:t>
      </w:r>
    </w:p>
    <w:p w14:paraId="191FFCC6" w14:textId="77777777" w:rsidR="0092721B" w:rsidRDefault="00D22738">
      <w:pPr>
        <w:pStyle w:val="3"/>
        <w:rPr>
          <w:lang w:eastAsia="ja-JP"/>
        </w:rPr>
      </w:pPr>
      <w:r>
        <w:rPr>
          <w:w w:val="80"/>
          <w:lang w:eastAsia="ja-JP"/>
        </w:rPr>
        <w:t>安全性 / 毒性</w:t>
      </w:r>
    </w:p>
    <w:p w14:paraId="7B310195" w14:textId="77777777" w:rsidR="0092721B" w:rsidRDefault="00D22738">
      <w:pPr>
        <w:pStyle w:val="a3"/>
        <w:spacing w:before="114" w:line="249" w:lineRule="auto"/>
        <w:ind w:right="38"/>
        <w:rPr>
          <w:lang w:eastAsia="ja-JP"/>
        </w:rPr>
      </w:pPr>
      <w:r>
        <w:rPr>
          <w:w w:val="80"/>
          <w:lang w:eastAsia="ja-JP"/>
        </w:rPr>
        <w:t>ClO2の安全性／毒性は、投与経路（吸入、局所、経口など）、分子の状態</w:t>
      </w:r>
      <w:r>
        <w:rPr>
          <w:w w:val="85"/>
          <w:lang w:eastAsia="ja-JP"/>
        </w:rPr>
        <w:t>（ガス状、水状など）、濃度（通常、水状の場合はmg / Lまたはppm、ガス状の場合はppmまたはmg / m3で測定）、投与期間など、</w:t>
      </w:r>
      <w:r>
        <w:rPr>
          <w:w w:val="80"/>
          <w:lang w:eastAsia="ja-JP"/>
        </w:rPr>
        <w:t>いくつかの変数に依存します。</w:t>
      </w:r>
    </w:p>
    <w:p w14:paraId="2216A02D" w14:textId="77777777" w:rsidR="0092721B" w:rsidRDefault="00D22738">
      <w:pPr>
        <w:pStyle w:val="a3"/>
        <w:spacing w:before="104" w:line="249" w:lineRule="auto"/>
        <w:ind w:right="124" w:firstLine="0"/>
        <w:rPr>
          <w:lang w:eastAsia="ja-JP"/>
        </w:rPr>
      </w:pPr>
      <w:r>
        <w:rPr>
          <w:lang w:eastAsia="ja-JP"/>
        </w:rPr>
        <w:br w:type="column"/>
      </w:r>
      <w:r>
        <w:rPr>
          <w:w w:val="80"/>
          <w:lang w:eastAsia="ja-JP"/>
        </w:rPr>
        <w:t>の曝露を行います。ClO2ガスは、水性のClO2よりもはるかに低い濃度で毒性を示します。また、毒性は暴露時間が長くなるほど高くなります。水性のClO2の方が毒性が低いという事実は、この分子を自治体の飲料水の安全な殺菌剤として、使用地点での飲料水の殺菌剤として</w:t>
      </w:r>
      <w:r>
        <w:rPr>
          <w:w w:val="85"/>
          <w:lang w:eastAsia="ja-JP"/>
        </w:rPr>
        <w:t>、食品の殺菌剤として、その他の用途に</w:t>
      </w:r>
      <w:r>
        <w:rPr>
          <w:w w:val="80"/>
          <w:lang w:eastAsia="ja-JP"/>
        </w:rPr>
        <w:t>使用することを可能にしています</w:t>
      </w:r>
      <w:r>
        <w:rPr>
          <w:w w:val="85"/>
          <w:lang w:eastAsia="ja-JP"/>
        </w:rPr>
        <w:t>（図4）。</w:t>
      </w:r>
    </w:p>
    <w:p w14:paraId="590B9951" w14:textId="77777777" w:rsidR="0092721B" w:rsidRDefault="00D22738">
      <w:pPr>
        <w:pStyle w:val="a3"/>
        <w:spacing w:before="117"/>
        <w:ind w:left="413" w:firstLine="0"/>
        <w:jc w:val="left"/>
        <w:rPr>
          <w:lang w:eastAsia="ja-JP"/>
        </w:rPr>
      </w:pPr>
      <w:r>
        <w:rPr>
          <w:w w:val="80"/>
          <w:lang w:eastAsia="ja-JP"/>
        </w:rPr>
        <w:t>以下は、</w:t>
      </w:r>
      <w:r>
        <w:rPr>
          <w:w w:val="80"/>
          <w:vertAlign w:val="subscript"/>
          <w:lang w:eastAsia="ja-JP"/>
        </w:rPr>
        <w:t>ClO2</w:t>
      </w:r>
      <w:r>
        <w:rPr>
          <w:w w:val="80"/>
          <w:lang w:eastAsia="ja-JP"/>
        </w:rPr>
        <w:t>の安全性と毒性を調べた研究のレビューです。</w:t>
      </w:r>
    </w:p>
    <w:p w14:paraId="2D059065" w14:textId="77777777" w:rsidR="0092721B" w:rsidRDefault="00D22738">
      <w:pPr>
        <w:pStyle w:val="3"/>
        <w:spacing w:before="109"/>
        <w:rPr>
          <w:lang w:eastAsia="ja-JP"/>
        </w:rPr>
      </w:pPr>
      <w:r>
        <w:rPr>
          <w:w w:val="80"/>
          <w:lang w:eastAsia="ja-JP"/>
        </w:rPr>
        <w:t>水に可溶化した</w:t>
      </w:r>
      <w:r>
        <w:rPr>
          <w:w w:val="80"/>
          <w:vertAlign w:val="subscript"/>
          <w:lang w:eastAsia="ja-JP"/>
        </w:rPr>
        <w:t>ClO2</w:t>
      </w:r>
    </w:p>
    <w:p w14:paraId="49812F9C" w14:textId="77777777" w:rsidR="0092721B" w:rsidRDefault="00D22738">
      <w:pPr>
        <w:spacing w:before="100"/>
        <w:ind w:left="130"/>
        <w:jc w:val="both"/>
        <w:rPr>
          <w:b/>
          <w:lang w:eastAsia="ja-JP"/>
        </w:rPr>
      </w:pPr>
      <w:r>
        <w:rPr>
          <w:rFonts w:ascii="Arial-BoldItalicMT"/>
          <w:b/>
          <w:i/>
          <w:w w:val="80"/>
          <w:lang w:eastAsia="ja-JP"/>
        </w:rPr>
        <w:t>In vitro</w:t>
      </w:r>
      <w:r>
        <w:rPr>
          <w:b/>
          <w:w w:val="80"/>
          <w:lang w:eastAsia="ja-JP"/>
        </w:rPr>
        <w:t>試験</w:t>
      </w:r>
    </w:p>
    <w:p w14:paraId="7C0C40FF" w14:textId="77777777" w:rsidR="0092721B" w:rsidRDefault="00D22738">
      <w:pPr>
        <w:pStyle w:val="a3"/>
        <w:spacing w:before="114" w:line="249" w:lineRule="auto"/>
        <w:ind w:right="124"/>
        <w:rPr>
          <w:lang w:eastAsia="ja-JP"/>
        </w:rPr>
      </w:pPr>
      <w:r>
        <w:rPr>
          <w:w w:val="85"/>
          <w:lang w:eastAsia="ja-JP"/>
        </w:rPr>
        <w:t>Noszticziusら（2013）は、</w:t>
      </w:r>
      <w:r>
        <w:rPr>
          <w:w w:val="85"/>
          <w:vertAlign w:val="subscript"/>
          <w:lang w:eastAsia="ja-JP"/>
        </w:rPr>
        <w:t>ClO2の</w:t>
      </w:r>
      <w:r>
        <w:rPr>
          <w:w w:val="80"/>
          <w:lang w:eastAsia="ja-JP"/>
        </w:rPr>
        <w:t>微生物と人間や動物</w:t>
      </w:r>
      <w:r>
        <w:rPr>
          <w:w w:val="85"/>
          <w:lang w:eastAsia="ja-JP"/>
        </w:rPr>
        <w:t>への影響の違いを調べました。</w:t>
      </w:r>
      <w:r>
        <w:rPr>
          <w:w w:val="80"/>
          <w:lang w:eastAsia="ja-JP"/>
        </w:rPr>
        <w:t>彼らは、タンパク質膜を用いた灌流試験を行い、</w:t>
      </w:r>
      <w:r>
        <w:rPr>
          <w:w w:val="80"/>
          <w:vertAlign w:val="subscript"/>
          <w:lang w:eastAsia="ja-JP"/>
        </w:rPr>
        <w:t>ClO2</w:t>
      </w:r>
      <w:r>
        <w:rPr>
          <w:w w:val="80"/>
          <w:lang w:eastAsia="ja-JP"/>
        </w:rPr>
        <w:t>にさらされる生物の大きさが酸化</w:t>
      </w:r>
      <w:r>
        <w:rPr>
          <w:w w:val="85"/>
          <w:lang w:eastAsia="ja-JP"/>
        </w:rPr>
        <w:t>剤の効果に影響する</w:t>
      </w:r>
      <w:r>
        <w:rPr>
          <w:w w:val="80"/>
          <w:lang w:eastAsia="ja-JP"/>
        </w:rPr>
        <w:t>ことを発見しました。</w:t>
      </w:r>
      <w:r>
        <w:rPr>
          <w:w w:val="85"/>
          <w:lang w:eastAsia="ja-JP"/>
        </w:rPr>
        <w:t>彼らは、低濃度の</w:t>
      </w:r>
      <w:r>
        <w:rPr>
          <w:w w:val="80"/>
          <w:vertAlign w:val="subscript"/>
          <w:lang w:eastAsia="ja-JP"/>
        </w:rPr>
        <w:t>ClO2</w:t>
      </w:r>
      <w:r>
        <w:rPr>
          <w:w w:val="85"/>
          <w:lang w:eastAsia="ja-JP"/>
        </w:rPr>
        <w:t>が</w:t>
      </w:r>
      <w:r>
        <w:rPr>
          <w:w w:val="80"/>
          <w:lang w:eastAsia="ja-JP"/>
        </w:rPr>
        <w:t>ミクロンサイズの生物を素早く死滅させる一方で、人間のような大きな生物にはほとんど害を与えない</w:t>
      </w:r>
      <w:r>
        <w:rPr>
          <w:w w:val="85"/>
          <w:lang w:eastAsia="ja-JP"/>
        </w:rPr>
        <w:t>ことを報告しました。</w:t>
      </w:r>
      <w:r>
        <w:rPr>
          <w:w w:val="80"/>
          <w:lang w:eastAsia="ja-JP"/>
        </w:rPr>
        <w:t>著者らは、この差異効果の理由を次のように示唆しています。(1)</w:t>
      </w:r>
      <w:r>
        <w:rPr>
          <w:w w:val="80"/>
          <w:vertAlign w:val="subscript"/>
          <w:lang w:eastAsia="ja-JP"/>
        </w:rPr>
        <w:t>ClO2</w:t>
      </w:r>
      <w:r>
        <w:rPr>
          <w:w w:val="80"/>
          <w:lang w:eastAsia="ja-JP"/>
        </w:rPr>
        <w:t>が大型生物の組織に深く浸透しないこと</w:t>
      </w:r>
      <w:r>
        <w:rPr>
          <w:w w:val="85"/>
          <w:lang w:eastAsia="ja-JP"/>
        </w:rPr>
        <w:t>、(2)大型生物が循環していることで</w:t>
      </w:r>
      <w:r>
        <w:rPr>
          <w:w w:val="80"/>
          <w:lang w:eastAsia="ja-JP"/>
        </w:rPr>
        <w:t>抗酸化物質が</w:t>
      </w:r>
      <w:r>
        <w:rPr>
          <w:w w:val="85"/>
          <w:lang w:eastAsia="ja-JP"/>
        </w:rPr>
        <w:t>常に</w:t>
      </w:r>
      <w:r>
        <w:rPr>
          <w:w w:val="80"/>
          <w:lang w:eastAsia="ja-JP"/>
        </w:rPr>
        <w:t>供給され、その影響から保護されること。</w:t>
      </w:r>
      <w:r>
        <w:rPr>
          <w:w w:val="80"/>
          <w:vertAlign w:val="subscript"/>
          <w:lang w:eastAsia="ja-JP"/>
        </w:rPr>
        <w:t>ClO2の酸化</w:t>
      </w:r>
      <w:r>
        <w:rPr>
          <w:w w:val="80"/>
          <w:lang w:eastAsia="ja-JP"/>
        </w:rPr>
        <w:t>剤。</w:t>
      </w:r>
    </w:p>
    <w:p w14:paraId="7D2661DB" w14:textId="77777777" w:rsidR="0092721B" w:rsidRDefault="00D22738">
      <w:pPr>
        <w:pStyle w:val="a3"/>
        <w:spacing w:before="120" w:line="249" w:lineRule="auto"/>
        <w:ind w:right="124"/>
        <w:rPr>
          <w:lang w:eastAsia="ja-JP"/>
        </w:rPr>
      </w:pPr>
      <w:r>
        <w:rPr>
          <w:i/>
          <w:w w:val="85"/>
          <w:lang w:eastAsia="ja-JP"/>
        </w:rPr>
        <w:t>In vitro</w:t>
      </w:r>
      <w:r>
        <w:rPr>
          <w:w w:val="85"/>
          <w:lang w:eastAsia="ja-JP"/>
        </w:rPr>
        <w:t>の研究では、</w:t>
      </w:r>
      <w:r>
        <w:rPr>
          <w:w w:val="80"/>
          <w:lang w:eastAsia="ja-JP"/>
        </w:rPr>
        <w:t>赤血球中のグルタチオン濃度がほぼ完全に枯渇し</w:t>
      </w:r>
      <w:r>
        <w:rPr>
          <w:w w:val="85"/>
          <w:lang w:eastAsia="ja-JP"/>
        </w:rPr>
        <w:t>ない限り、メトヘモグロビンは生成されないことがわかった</w:t>
      </w:r>
      <w:r>
        <w:rPr>
          <w:w w:val="90"/>
          <w:lang w:eastAsia="ja-JP"/>
        </w:rPr>
        <w:t>（Heffernanら、1979a）。</w:t>
      </w:r>
    </w:p>
    <w:p w14:paraId="44850C10" w14:textId="77777777" w:rsidR="0092721B" w:rsidRDefault="00D22738">
      <w:pPr>
        <w:spacing w:before="102"/>
        <w:ind w:left="130"/>
        <w:jc w:val="both"/>
        <w:rPr>
          <w:b/>
          <w:lang w:eastAsia="ja-JP"/>
        </w:rPr>
      </w:pPr>
      <w:r>
        <w:rPr>
          <w:rFonts w:ascii="Arial-BoldItalicMT"/>
          <w:b/>
          <w:i/>
          <w:w w:val="80"/>
          <w:lang w:eastAsia="ja-JP"/>
        </w:rPr>
        <w:t xml:space="preserve">In vivo </w:t>
      </w:r>
      <w:r>
        <w:rPr>
          <w:b/>
          <w:w w:val="80"/>
          <w:lang w:eastAsia="ja-JP"/>
        </w:rPr>
        <w:t>動物実験</w:t>
      </w:r>
    </w:p>
    <w:p w14:paraId="3F2CA53E" w14:textId="77777777" w:rsidR="0092721B" w:rsidRDefault="00D22738">
      <w:pPr>
        <w:pStyle w:val="a3"/>
        <w:spacing w:before="114" w:line="249" w:lineRule="auto"/>
        <w:ind w:right="124"/>
        <w:rPr>
          <w:lang w:eastAsia="ja-JP"/>
        </w:rPr>
      </w:pPr>
      <w:r>
        <w:rPr>
          <w:w w:val="80"/>
          <w:lang w:eastAsia="ja-JP"/>
        </w:rPr>
        <w:t>Danielら（1990）は、ラットを0、25、50、100</w:t>
      </w:r>
      <w:r>
        <w:rPr>
          <w:w w:val="85"/>
          <w:lang w:eastAsia="ja-JP"/>
        </w:rPr>
        <w:t>、200mg/リットル</w:t>
      </w:r>
      <w:r>
        <w:rPr>
          <w:w w:val="80"/>
          <w:lang w:eastAsia="ja-JP"/>
        </w:rPr>
        <w:t>のClO2濃度に</w:t>
      </w:r>
      <w:r>
        <w:rPr>
          <w:w w:val="85"/>
          <w:lang w:eastAsia="ja-JP"/>
        </w:rPr>
        <w:t>90日間</w:t>
      </w:r>
      <w:r>
        <w:rPr>
          <w:w w:val="80"/>
          <w:lang w:eastAsia="ja-JP"/>
        </w:rPr>
        <w:t>暴露しました。</w:t>
      </w:r>
      <w:r>
        <w:rPr>
          <w:w w:val="85"/>
          <w:lang w:eastAsia="ja-JP"/>
        </w:rPr>
        <w:t>これは、雄で11.5mg/kg/day、雌で14.9mg/kg/dayの投与量に相当する。曝露による死亡例は</w:t>
      </w:r>
      <w:r>
        <w:rPr>
          <w:w w:val="90"/>
          <w:lang w:eastAsia="ja-JP"/>
        </w:rPr>
        <w:t>報告されてい</w:t>
      </w:r>
      <w:r>
        <w:rPr>
          <w:w w:val="85"/>
          <w:lang w:eastAsia="ja-JP"/>
        </w:rPr>
        <w:t>ない。</w:t>
      </w:r>
    </w:p>
    <w:p w14:paraId="2ECC16CA" w14:textId="77777777" w:rsidR="0092721B" w:rsidRDefault="00D22738">
      <w:pPr>
        <w:pStyle w:val="a3"/>
        <w:spacing w:before="116" w:line="249" w:lineRule="auto"/>
        <w:ind w:right="124"/>
        <w:rPr>
          <w:lang w:eastAsia="ja-JP"/>
        </w:rPr>
      </w:pPr>
      <w:r>
        <w:rPr>
          <w:w w:val="85"/>
          <w:lang w:eastAsia="ja-JP"/>
        </w:rPr>
        <w:t>Abdel-Rahmanら（1982b）は、単回強制経口</w:t>
      </w:r>
      <w:r>
        <w:rPr>
          <w:w w:val="80"/>
          <w:lang w:eastAsia="ja-JP"/>
        </w:rPr>
        <w:t>投与</w:t>
      </w:r>
      <w:r>
        <w:rPr>
          <w:w w:val="85"/>
          <w:lang w:eastAsia="ja-JP"/>
        </w:rPr>
        <w:t>後の雌ラットのLD50は340～468mg / kg、雄ラットのLD50は292～424mg / kgと報告している。ラット</w:t>
      </w:r>
      <w:r>
        <w:rPr>
          <w:w w:val="80"/>
          <w:lang w:eastAsia="ja-JP"/>
        </w:rPr>
        <w:t>におけるLD50の追加報告としては、94mg / kg（WHO, 2002）、140mg / kg（Musil et al, 1963）、292ppm（National Institute for Occupational Safety and Health, 2014）、&gt; 5,000mg / kg（US Environmental Protection Agency, 2008）がある。マウスのLD50は&gt; 10,000 mg / kgと報告されています（Shi et al.</w:t>
      </w:r>
      <w:r>
        <w:rPr>
          <w:w w:val="90"/>
          <w:lang w:eastAsia="ja-JP"/>
        </w:rPr>
        <w:t>1999）。</w:t>
      </w:r>
    </w:p>
    <w:p w14:paraId="6692FFFF" w14:textId="77777777" w:rsidR="0092721B" w:rsidRDefault="00D22738">
      <w:pPr>
        <w:pStyle w:val="a3"/>
        <w:spacing w:before="119" w:line="249" w:lineRule="auto"/>
        <w:ind w:right="124"/>
        <w:rPr>
          <w:lang w:eastAsia="ja-JP"/>
        </w:rPr>
      </w:pPr>
      <w:r>
        <w:rPr>
          <w:w w:val="85"/>
          <w:lang w:eastAsia="ja-JP"/>
        </w:rPr>
        <w:t>2020年にケレタロ大学（メキシコ）で行われた研究で、研究者たちは</w:t>
      </w:r>
      <w:r>
        <w:rPr>
          <w:w w:val="80"/>
          <w:lang w:eastAsia="ja-JP"/>
        </w:rPr>
        <w:t>、</w:t>
      </w:r>
      <w:r>
        <w:rPr>
          <w:w w:val="85"/>
          <w:lang w:eastAsia="ja-JP"/>
        </w:rPr>
        <w:t>ClO2が</w:t>
      </w:r>
      <w:r>
        <w:rPr>
          <w:w w:val="80"/>
          <w:lang w:eastAsia="ja-JP"/>
        </w:rPr>
        <w:t>脊椎動物モデルの</w:t>
      </w:r>
      <w:r>
        <w:rPr>
          <w:w w:val="85"/>
          <w:lang w:eastAsia="ja-JP"/>
        </w:rPr>
        <w:t>ウイルス量と</w:t>
      </w:r>
      <w:r>
        <w:rPr>
          <w:w w:val="80"/>
          <w:lang w:eastAsia="ja-JP"/>
        </w:rPr>
        <w:t>ウイルス誘発性死亡率</w:t>
      </w:r>
      <w:r>
        <w:rPr>
          <w:w w:val="85"/>
          <w:lang w:eastAsia="ja-JP"/>
        </w:rPr>
        <w:t>を減少させるという仮説に挑戦しました。</w:t>
      </w:r>
      <w:r>
        <w:rPr>
          <w:w w:val="80"/>
          <w:lang w:eastAsia="ja-JP"/>
        </w:rPr>
        <w:t>これを行うために、彼らは</w:t>
      </w:r>
    </w:p>
    <w:p w14:paraId="3073D7D1" w14:textId="77777777" w:rsidR="0092721B" w:rsidRDefault="0092721B">
      <w:pPr>
        <w:pStyle w:val="a3"/>
        <w:ind w:left="0" w:firstLine="0"/>
        <w:jc w:val="left"/>
        <w:rPr>
          <w:sz w:val="20"/>
          <w:lang w:eastAsia="ja-JP"/>
        </w:rPr>
      </w:pPr>
    </w:p>
    <w:p w14:paraId="672B4244" w14:textId="77777777" w:rsidR="0092721B" w:rsidRDefault="00D22738">
      <w:pPr>
        <w:pStyle w:val="a3"/>
        <w:spacing w:before="1"/>
        <w:ind w:left="0" w:firstLine="0"/>
        <w:jc w:val="left"/>
        <w:rPr>
          <w:sz w:val="16"/>
          <w:lang w:eastAsia="ja-JP"/>
        </w:rPr>
      </w:pPr>
      <w:r>
        <w:rPr>
          <w:noProof/>
        </w:rPr>
        <w:drawing>
          <wp:anchor distT="0" distB="0" distL="0" distR="0" simplePos="0" relativeHeight="7" behindDoc="0" locked="0" layoutInCell="1" allowOverlap="1" wp14:anchorId="4A3433FF" wp14:editId="4FBBAA48">
            <wp:simplePos x="0" y="0"/>
            <wp:positionH relativeFrom="page">
              <wp:posOffset>3977999</wp:posOffset>
            </wp:positionH>
            <wp:positionV relativeFrom="paragraph">
              <wp:posOffset>133209</wp:posOffset>
            </wp:positionV>
            <wp:extent cx="3226446" cy="151180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3226446" cy="1511808"/>
                    </a:xfrm>
                    <a:prstGeom prst="rect">
                      <a:avLst/>
                    </a:prstGeom>
                  </pic:spPr>
                </pic:pic>
              </a:graphicData>
            </a:graphic>
          </wp:anchor>
        </w:drawing>
      </w:r>
    </w:p>
    <w:p w14:paraId="019A26A3" w14:textId="77777777" w:rsidR="0092721B" w:rsidRDefault="00D22738">
      <w:pPr>
        <w:spacing w:before="112" w:line="249" w:lineRule="auto"/>
        <w:ind w:left="130" w:right="120"/>
        <w:jc w:val="both"/>
        <w:rPr>
          <w:sz w:val="16"/>
          <w:lang w:eastAsia="ja-JP"/>
        </w:rPr>
      </w:pPr>
      <w:r>
        <w:rPr>
          <w:b/>
          <w:w w:val="80"/>
          <w:sz w:val="16"/>
          <w:lang w:eastAsia="ja-JP"/>
        </w:rPr>
        <w:t>図2：</w:t>
      </w:r>
      <w:r>
        <w:rPr>
          <w:w w:val="90"/>
          <w:sz w:val="16"/>
          <w:vertAlign w:val="subscript"/>
          <w:lang w:eastAsia="ja-JP"/>
        </w:rPr>
        <w:t>ClO2</w:t>
      </w:r>
      <w:r>
        <w:rPr>
          <w:w w:val="90"/>
          <w:sz w:val="16"/>
          <w:lang w:eastAsia="ja-JP"/>
        </w:rPr>
        <w:t>の作用部位の</w:t>
      </w:r>
      <w:r>
        <w:rPr>
          <w:w w:val="80"/>
          <w:sz w:val="16"/>
          <w:lang w:eastAsia="ja-JP"/>
        </w:rPr>
        <w:t>一つであるスパイクの構造におけるアミノ酸（システイン）の位置</w:t>
      </w:r>
      <w:r>
        <w:rPr>
          <w:w w:val="90"/>
          <w:sz w:val="16"/>
          <w:lang w:eastAsia="ja-JP"/>
        </w:rPr>
        <w:t>。</w:t>
      </w:r>
    </w:p>
    <w:p w14:paraId="11C8FF54" w14:textId="77777777" w:rsidR="0092721B" w:rsidRDefault="00D22738">
      <w:pPr>
        <w:pStyle w:val="a3"/>
        <w:spacing w:before="4"/>
        <w:ind w:left="0" w:firstLine="0"/>
        <w:jc w:val="left"/>
        <w:rPr>
          <w:sz w:val="22"/>
          <w:lang w:eastAsia="ja-JP"/>
        </w:rPr>
      </w:pPr>
      <w:r>
        <w:rPr>
          <w:noProof/>
        </w:rPr>
        <w:drawing>
          <wp:anchor distT="0" distB="0" distL="0" distR="0" simplePos="0" relativeHeight="8" behindDoc="0" locked="0" layoutInCell="1" allowOverlap="1" wp14:anchorId="6D807487" wp14:editId="74036037">
            <wp:simplePos x="0" y="0"/>
            <wp:positionH relativeFrom="page">
              <wp:posOffset>3978008</wp:posOffset>
            </wp:positionH>
            <wp:positionV relativeFrom="paragraph">
              <wp:posOffset>178526</wp:posOffset>
            </wp:positionV>
            <wp:extent cx="3195206" cy="109728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3195206" cy="1097280"/>
                    </a:xfrm>
                    <a:prstGeom prst="rect">
                      <a:avLst/>
                    </a:prstGeom>
                  </pic:spPr>
                </pic:pic>
              </a:graphicData>
            </a:graphic>
          </wp:anchor>
        </w:drawing>
      </w:r>
    </w:p>
    <w:p w14:paraId="66F7F143" w14:textId="77777777" w:rsidR="0092721B" w:rsidRDefault="00D22738">
      <w:pPr>
        <w:spacing w:before="146" w:line="249" w:lineRule="auto"/>
        <w:ind w:left="130" w:right="125"/>
        <w:jc w:val="both"/>
        <w:rPr>
          <w:sz w:val="16"/>
          <w:lang w:eastAsia="ja-JP"/>
        </w:rPr>
      </w:pPr>
      <w:r>
        <w:rPr>
          <w:b/>
          <w:w w:val="85"/>
          <w:sz w:val="16"/>
          <w:lang w:eastAsia="ja-JP"/>
        </w:rPr>
        <w:lastRenderedPageBreak/>
        <w:t>図3：</w:t>
      </w:r>
      <w:r>
        <w:rPr>
          <w:w w:val="85"/>
          <w:sz w:val="16"/>
          <w:lang w:eastAsia="ja-JP"/>
        </w:rPr>
        <w:t>濃度と</w:t>
      </w:r>
      <w:r>
        <w:rPr>
          <w:w w:val="90"/>
          <w:sz w:val="16"/>
          <w:lang w:eastAsia="ja-JP"/>
        </w:rPr>
        <w:t>接触時間</w:t>
      </w:r>
      <w:r>
        <w:rPr>
          <w:w w:val="85"/>
          <w:sz w:val="16"/>
          <w:lang w:eastAsia="ja-JP"/>
        </w:rPr>
        <w:t>による二酸化塩素処理の効果。</w:t>
      </w:r>
    </w:p>
    <w:p w14:paraId="50EF8213" w14:textId="77777777" w:rsidR="0092721B" w:rsidRDefault="0092721B">
      <w:pPr>
        <w:spacing w:line="249" w:lineRule="auto"/>
        <w:jc w:val="both"/>
        <w:rPr>
          <w:sz w:val="16"/>
          <w:lang w:eastAsia="ja-JP"/>
        </w:rPr>
        <w:sectPr w:rsidR="0092721B">
          <w:type w:val="continuous"/>
          <w:pgSz w:w="11910" w:h="16840"/>
          <w:pgMar w:top="760" w:right="440" w:bottom="280" w:left="720" w:header="814" w:footer="686" w:gutter="0"/>
          <w:cols w:num="2" w:space="720" w:equalWidth="0">
            <w:col w:w="5251" w:space="163"/>
            <w:col w:w="5336"/>
          </w:cols>
        </w:sectPr>
      </w:pPr>
    </w:p>
    <w:p w14:paraId="0F5DF643" w14:textId="77777777" w:rsidR="0092721B" w:rsidRDefault="0092721B">
      <w:pPr>
        <w:pStyle w:val="a3"/>
        <w:spacing w:before="1"/>
        <w:ind w:left="0" w:firstLine="0"/>
        <w:jc w:val="left"/>
        <w:rPr>
          <w:sz w:val="13"/>
          <w:lang w:eastAsia="ja-JP"/>
        </w:rPr>
      </w:pPr>
    </w:p>
    <w:p w14:paraId="22BD1646" w14:textId="77777777" w:rsidR="0092721B" w:rsidRDefault="0092721B">
      <w:pPr>
        <w:rPr>
          <w:sz w:val="13"/>
          <w:lang w:eastAsia="ja-JP"/>
        </w:rPr>
        <w:sectPr w:rsidR="0092721B">
          <w:pgSz w:w="11910" w:h="16840"/>
          <w:pgMar w:top="1080" w:right="440" w:bottom="880" w:left="720" w:header="814" w:footer="686" w:gutter="0"/>
          <w:cols w:space="720"/>
        </w:sectPr>
      </w:pPr>
    </w:p>
    <w:p w14:paraId="4B0C3C2B" w14:textId="77777777" w:rsidR="0092721B" w:rsidRDefault="0092721B">
      <w:pPr>
        <w:pStyle w:val="a3"/>
        <w:spacing w:before="9"/>
        <w:ind w:left="0" w:firstLine="0"/>
        <w:jc w:val="left"/>
        <w:rPr>
          <w:sz w:val="13"/>
          <w:lang w:eastAsia="ja-JP"/>
        </w:rPr>
      </w:pPr>
    </w:p>
    <w:p w14:paraId="2F6D1510" w14:textId="77777777" w:rsidR="0092721B" w:rsidRDefault="00D22738">
      <w:pPr>
        <w:pStyle w:val="a3"/>
        <w:ind w:left="129" w:right="-15" w:firstLine="0"/>
        <w:jc w:val="left"/>
        <w:rPr>
          <w:sz w:val="20"/>
        </w:rPr>
      </w:pPr>
      <w:r>
        <w:rPr>
          <w:noProof/>
          <w:sz w:val="20"/>
        </w:rPr>
        <w:drawing>
          <wp:inline distT="0" distB="0" distL="0" distR="0" wp14:anchorId="408F23E1" wp14:editId="4E6038FE">
            <wp:extent cx="3229009" cy="258165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229009" cy="2581655"/>
                    </a:xfrm>
                    <a:prstGeom prst="rect">
                      <a:avLst/>
                    </a:prstGeom>
                  </pic:spPr>
                </pic:pic>
              </a:graphicData>
            </a:graphic>
          </wp:inline>
        </w:drawing>
      </w:r>
    </w:p>
    <w:p w14:paraId="06CDDFAE" w14:textId="77777777" w:rsidR="0092721B" w:rsidRDefault="00D22738">
      <w:pPr>
        <w:pStyle w:val="a3"/>
        <w:spacing w:before="106" w:line="249" w:lineRule="auto"/>
        <w:ind w:left="129" w:right="38" w:firstLine="0"/>
        <w:rPr>
          <w:lang w:eastAsia="ja-JP"/>
        </w:rPr>
      </w:pPr>
      <w:r>
        <w:rPr>
          <w:b/>
          <w:w w:val="80"/>
          <w:lang w:eastAsia="ja-JP"/>
        </w:rPr>
        <w:t>図4：</w:t>
      </w:r>
      <w:r>
        <w:rPr>
          <w:w w:val="80"/>
          <w:lang w:eastAsia="ja-JP"/>
        </w:rPr>
        <w:t>二酸化塩素／亜塩素酸塩の全身</w:t>
      </w:r>
      <w:r>
        <w:rPr>
          <w:spacing w:val="-1"/>
          <w:w w:val="85"/>
          <w:lang w:eastAsia="ja-JP"/>
        </w:rPr>
        <w:t>毒性</w:t>
      </w:r>
      <w:r>
        <w:rPr>
          <w:w w:val="80"/>
          <w:lang w:eastAsia="ja-JP"/>
        </w:rPr>
        <w:t>の実験レベルのレビュー。</w:t>
      </w:r>
      <w:r>
        <w:rPr>
          <w:spacing w:val="-1"/>
          <w:w w:val="85"/>
          <w:lang w:eastAsia="ja-JP"/>
        </w:rPr>
        <w:t>青は</w:t>
      </w:r>
      <w:r>
        <w:rPr>
          <w:w w:val="85"/>
          <w:lang w:eastAsia="ja-JP"/>
        </w:rPr>
        <w:t>飲料水の消毒に関する</w:t>
      </w:r>
      <w:r>
        <w:rPr>
          <w:spacing w:val="-1"/>
          <w:w w:val="85"/>
          <w:lang w:eastAsia="ja-JP"/>
        </w:rPr>
        <w:t>基準</w:t>
      </w:r>
      <w:r>
        <w:rPr>
          <w:w w:val="85"/>
          <w:lang w:eastAsia="ja-JP"/>
        </w:rPr>
        <w:t>値（US-EPA）、</w:t>
      </w:r>
      <w:r>
        <w:rPr>
          <w:w w:val="80"/>
          <w:lang w:eastAsia="ja-JP"/>
        </w:rPr>
        <w:t>緑は毒性ゼロで治療効果の証拠があるレベル（文献A KalckerおよびE. Insignares Carrione）、赤は動物およびヒトを対象としたさまざまなin vivo研究で報告された毒性検出の最小レベル。</w:t>
      </w:r>
    </w:p>
    <w:p w14:paraId="230ADA06" w14:textId="77777777" w:rsidR="0092721B" w:rsidRDefault="0092721B">
      <w:pPr>
        <w:pStyle w:val="a3"/>
        <w:spacing w:before="6"/>
        <w:ind w:left="0" w:firstLine="0"/>
        <w:jc w:val="left"/>
        <w:rPr>
          <w:sz w:val="17"/>
          <w:lang w:eastAsia="ja-JP"/>
        </w:rPr>
      </w:pPr>
    </w:p>
    <w:p w14:paraId="725ADA6A" w14:textId="77777777" w:rsidR="0092721B" w:rsidRDefault="00D22738">
      <w:pPr>
        <w:pStyle w:val="a3"/>
        <w:spacing w:line="249" w:lineRule="auto"/>
        <w:ind w:right="44" w:firstLine="0"/>
      </w:pPr>
      <w:r>
        <w:rPr>
          <w:spacing w:val="-1"/>
          <w:w w:val="85"/>
          <w:lang w:eastAsia="ja-JP"/>
        </w:rPr>
        <w:t>マサチューセッツ州</w:t>
      </w:r>
      <w:r>
        <w:rPr>
          <w:w w:val="85"/>
          <w:lang w:eastAsia="ja-JP"/>
        </w:rPr>
        <w:t>およびコネチカット</w:t>
      </w:r>
      <w:r>
        <w:rPr>
          <w:spacing w:val="-1"/>
          <w:w w:val="85"/>
          <w:lang w:eastAsia="ja-JP"/>
        </w:rPr>
        <w:t>州産の</w:t>
      </w:r>
      <w:r>
        <w:rPr>
          <w:w w:val="80"/>
          <w:lang w:eastAsia="ja-JP"/>
        </w:rPr>
        <w:t>弱毒化鳥類コロナウイルス（IBV）</w:t>
      </w:r>
      <w:r>
        <w:rPr>
          <w:spacing w:val="-1"/>
          <w:w w:val="85"/>
          <w:lang w:eastAsia="ja-JP"/>
        </w:rPr>
        <w:t>株</w:t>
      </w:r>
      <w:r>
        <w:rPr>
          <w:w w:val="80"/>
          <w:lang w:eastAsia="ja-JP"/>
        </w:rPr>
        <w:t>の培地に104 EID50 / mLを接種した10日齢のニワトリ胚のウイルス量、ウイルスによる病変、死亡率を調べました。</w:t>
      </w:r>
      <w:r>
        <w:rPr>
          <w:w w:val="85"/>
          <w:lang w:eastAsia="ja-JP"/>
        </w:rPr>
        <w:t>ClO2処理はIBVの感染に著しい影響を与えた。具体的には、</w:t>
      </w:r>
      <w:r>
        <w:rPr>
          <w:w w:val="80"/>
          <w:lang w:eastAsia="ja-JP"/>
        </w:rPr>
        <w:t>ClO2処理を行った感染胚では、</w:t>
      </w:r>
      <w:r>
        <w:rPr>
          <w:w w:val="85"/>
          <w:lang w:eastAsia="ja-JP"/>
        </w:rPr>
        <w:t>ウイルス力価が2.4倍に低下し、</w:t>
      </w:r>
      <w:r>
        <w:rPr>
          <w:w w:val="80"/>
          <w:lang w:eastAsia="ja-JP"/>
        </w:rPr>
        <w:t>死亡率は半分に減少しました。この感染症は、処理の有無にかかわらず、発生異常を引き起こした。IBV感染に典型的な病変は、接種したすべての胚で観察されましたが、ClO2で処理した胚では重症度が有意に低い傾向が見られました。</w:t>
      </w:r>
      <w:r>
        <w:rPr>
          <w:w w:val="85"/>
          <w:lang w:eastAsia="ja-JP"/>
        </w:rPr>
        <w:t>この</w:t>
      </w:r>
      <w:r>
        <w:rPr>
          <w:w w:val="80"/>
          <w:lang w:eastAsia="ja-JP"/>
        </w:rPr>
        <w:t>研究では、今回使用した用量のClO2による毒性を示す肉眼的、顕微鏡的な証拠は見つからなかった。</w:t>
      </w:r>
      <w:r>
        <w:rPr>
          <w:w w:val="85"/>
          <w:lang w:eastAsia="ja-JP"/>
        </w:rPr>
        <w:t>本研究は、ClO2が</w:t>
      </w:r>
      <w:r>
        <w:rPr>
          <w:w w:val="80"/>
          <w:lang w:eastAsia="ja-JP"/>
        </w:rPr>
        <w:t>鳥類コロナウイルス感染症の治療および影響を緩和する</w:t>
      </w:r>
      <w:r>
        <w:rPr>
          <w:w w:val="85"/>
          <w:lang w:eastAsia="ja-JP"/>
        </w:rPr>
        <w:t>安全で実行可能な方法である可能性があると結論づけており、他の生物においても同様の効果が観察される可能性を提起しています。</w:t>
      </w:r>
      <w:r>
        <w:rPr>
          <w:w w:val="85"/>
        </w:rPr>
        <w:t xml:space="preserve">(Xóchitl </w:t>
      </w:r>
      <w:r>
        <w:rPr>
          <w:w w:val="90"/>
        </w:rPr>
        <w:t>Zambrano-Estrada et al, 2020）としています。)</w:t>
      </w:r>
    </w:p>
    <w:p w14:paraId="227A043A" w14:textId="77777777" w:rsidR="0092721B" w:rsidRDefault="00D22738">
      <w:pPr>
        <w:spacing w:before="134"/>
        <w:ind w:left="130"/>
        <w:jc w:val="both"/>
        <w:rPr>
          <w:b/>
          <w:lang w:eastAsia="ja-JP"/>
        </w:rPr>
      </w:pPr>
      <w:r>
        <w:rPr>
          <w:b/>
          <w:w w:val="85"/>
          <w:lang w:eastAsia="ja-JP"/>
        </w:rPr>
        <w:t>水溶性の二酸化塩素（CDS）をヒトと</w:t>
      </w:r>
    </w:p>
    <w:p w14:paraId="3E00F851" w14:textId="77777777" w:rsidR="0092721B" w:rsidRDefault="00D22738">
      <w:pPr>
        <w:pStyle w:val="1"/>
        <w:ind w:left="130"/>
        <w:rPr>
          <w:lang w:eastAsia="ja-JP"/>
        </w:rPr>
      </w:pPr>
      <w:r>
        <w:rPr>
          <w:w w:val="55"/>
          <w:lang w:eastAsia="ja-JP"/>
        </w:rPr>
        <w:t>動物研究</w:t>
      </w:r>
    </w:p>
    <w:p w14:paraId="46430DB2" w14:textId="77777777" w:rsidR="0092721B" w:rsidRDefault="00D22738">
      <w:pPr>
        <w:spacing w:before="171" w:line="256" w:lineRule="auto"/>
        <w:ind w:left="130" w:right="44" w:firstLine="283"/>
        <w:jc w:val="both"/>
        <w:rPr>
          <w:sz w:val="25"/>
          <w:lang w:eastAsia="ja-JP"/>
        </w:rPr>
      </w:pPr>
      <w:r>
        <w:rPr>
          <w:w w:val="55"/>
          <w:sz w:val="25"/>
          <w:lang w:eastAsia="ja-JP"/>
        </w:rPr>
        <w:t>オハイオ州立大学医学部のLubbersら(1982, 1984a)による研究では、ClO2の飲用による短期毒性を評価しました。最初の研究（Lubbersら、1982年）では、健康な成人男性10人のグループが、徐々に増加するClO2を1,000ml（500mlを2回に分けて、4時間間隔で）飲みました。この研究では、被験者が0.1、1.0、5.0、10.0、18.0、24.0mg/LのClO2溶液を飲むという、それぞれ3日間の6つのシーケンスが行われました。(0.34 mg / kg、基準体重を70 kgとする)。2番目の研究(Lubbersら、1984a)では、10人の成人男性のグループが、0または5mg / LのClO2を含む蒸留水500ml(0.04mg / kg-day、基準体重70kgと仮定)を12週間摂取した。</w:t>
      </w:r>
    </w:p>
    <w:p w14:paraId="15715071" w14:textId="77777777" w:rsidR="0092721B" w:rsidRDefault="00D22738">
      <w:pPr>
        <w:spacing w:before="174" w:line="256" w:lineRule="auto"/>
        <w:ind w:left="130" w:right="44" w:firstLine="283"/>
        <w:jc w:val="both"/>
        <w:rPr>
          <w:sz w:val="25"/>
          <w:lang w:eastAsia="ja-JP"/>
        </w:rPr>
      </w:pPr>
      <w:r>
        <w:rPr>
          <w:w w:val="55"/>
          <w:sz w:val="25"/>
          <w:lang w:eastAsia="ja-JP"/>
        </w:rPr>
        <w:t>歯根膜幹細胞（PLDSCs）の生存率に関して、</w:t>
      </w:r>
      <w:r>
        <w:rPr>
          <w:w w:val="60"/>
          <w:sz w:val="25"/>
          <w:lang w:eastAsia="ja-JP"/>
        </w:rPr>
        <w:t>高純度二酸化塩素と他の2つの灌注剤を比較検討した結果、</w:t>
      </w:r>
      <w:r>
        <w:rPr>
          <w:w w:val="55"/>
          <w:sz w:val="25"/>
          <w:lang w:eastAsia="ja-JP"/>
        </w:rPr>
        <w:t>細胞生存率の実験では、微生物を死滅させるために使用される濃度において、ClO2を適用してもPLDSCsの生存率の著しい低下をもたらさないことが示された。対照的に、従来の潅水剤であるH2O2とCHXは、PDLSCに対して非常に毒性が強い。PLDSC培養物の老化（継代3と7）には特徴がある</w:t>
      </w:r>
    </w:p>
    <w:p w14:paraId="3727AC4F" w14:textId="77777777" w:rsidR="0092721B" w:rsidRDefault="00D22738">
      <w:pPr>
        <w:spacing w:before="112" w:line="256" w:lineRule="auto"/>
        <w:ind w:left="129" w:right="124"/>
        <w:jc w:val="both"/>
        <w:rPr>
          <w:sz w:val="25"/>
          <w:lang w:eastAsia="ja-JP"/>
        </w:rPr>
      </w:pPr>
      <w:r>
        <w:rPr>
          <w:lang w:eastAsia="ja-JP"/>
        </w:rPr>
        <w:br w:type="column"/>
      </w:r>
      <w:r>
        <w:rPr>
          <w:w w:val="55"/>
          <w:sz w:val="25"/>
          <w:lang w:eastAsia="ja-JP"/>
        </w:rPr>
        <w:t>は、増加した間葉系幹細胞マーカーの発現が減少するため、これらの薬剤に対する反応性に影響を与えます。彼らは、マウスウォッシュの有効成分（H2O2,</w:t>
      </w:r>
    </w:p>
    <w:p w14:paraId="080A2174" w14:textId="77777777" w:rsidR="0092721B" w:rsidRDefault="00D22738">
      <w:pPr>
        <w:pStyle w:val="1"/>
        <w:spacing w:before="144"/>
        <w:rPr>
          <w:lang w:eastAsia="ja-JP"/>
        </w:rPr>
      </w:pPr>
      <w:r>
        <w:rPr>
          <w:w w:val="55"/>
          <w:lang w:eastAsia="ja-JP"/>
        </w:rPr>
        <w:t>水に溶かした</w:t>
      </w:r>
      <w:r>
        <w:rPr>
          <w:w w:val="55"/>
          <w:vertAlign w:val="subscript"/>
          <w:lang w:eastAsia="ja-JP"/>
        </w:rPr>
        <w:t>ClO2</w:t>
      </w:r>
      <w:r>
        <w:rPr>
          <w:w w:val="55"/>
          <w:lang w:eastAsia="ja-JP"/>
        </w:rPr>
        <w:t>を経口摂取。</w:t>
      </w:r>
    </w:p>
    <w:p w14:paraId="07B20EF3" w14:textId="77777777" w:rsidR="0092721B" w:rsidRDefault="00D22738">
      <w:pPr>
        <w:spacing w:before="170" w:line="256" w:lineRule="auto"/>
        <w:ind w:left="129" w:right="124" w:firstLine="283"/>
        <w:jc w:val="both"/>
        <w:rPr>
          <w:sz w:val="25"/>
        </w:rPr>
      </w:pPr>
      <w:r>
        <w:rPr>
          <w:w w:val="60"/>
          <w:sz w:val="25"/>
        </w:rPr>
        <w:t>水溶性ClO2(CDS)を</w:t>
      </w:r>
      <w:r>
        <w:rPr>
          <w:w w:val="55"/>
          <w:sz w:val="25"/>
        </w:rPr>
        <w:t>経口で摂取</w:t>
      </w:r>
      <w:r>
        <w:rPr>
          <w:w w:val="60"/>
          <w:sz w:val="25"/>
        </w:rPr>
        <w:t>して使用するために実施された唯一の研究</w:t>
      </w:r>
      <w:r>
        <w:rPr>
          <w:w w:val="55"/>
          <w:sz w:val="25"/>
        </w:rPr>
        <w:t>は、中央および南アメリカの様々な国で多施設臨床試験で行われた我々の本研究です</w:t>
      </w:r>
      <w:hyperlink r:id="rId21">
        <w:r>
          <w:rPr>
            <w:w w:val="55"/>
            <w:sz w:val="25"/>
          </w:rPr>
          <w:t xml:space="preserve">(https://clinicaltrials. </w:t>
        </w:r>
      </w:hyperlink>
      <w:hyperlink r:id="rId22">
        <w:r>
          <w:rPr>
            <w:w w:val="60"/>
            <w:sz w:val="25"/>
            <w:lang w:eastAsia="ja-JP"/>
          </w:rPr>
          <w:t>gov/ct2/show/NCT0434374</w:t>
        </w:r>
      </w:hyperlink>
      <w:r>
        <w:rPr>
          <w:w w:val="60"/>
          <w:sz w:val="25"/>
          <w:lang w:eastAsia="ja-JP"/>
        </w:rPr>
        <w:t>)。</w:t>
      </w:r>
      <w:r>
        <w:rPr>
          <w:w w:val="55"/>
          <w:sz w:val="25"/>
          <w:lang w:eastAsia="ja-JP"/>
        </w:rPr>
        <w:t>COVID-19の予防と治療のための水溶性ClO2</w:t>
      </w:r>
      <w:r>
        <w:rPr>
          <w:w w:val="60"/>
          <w:sz w:val="25"/>
          <w:lang w:eastAsia="ja-JP"/>
        </w:rPr>
        <w:t>の使用が</w:t>
      </w:r>
      <w:r>
        <w:rPr>
          <w:w w:val="55"/>
          <w:sz w:val="25"/>
          <w:lang w:eastAsia="ja-JP"/>
        </w:rPr>
        <w:t>2020年8月初旬に法律で承認され</w:t>
      </w:r>
      <w:r>
        <w:rPr>
          <w:w w:val="60"/>
          <w:sz w:val="25"/>
          <w:lang w:eastAsia="ja-JP"/>
        </w:rPr>
        <w:t>たボリビアの統計では、</w:t>
      </w:r>
      <w:r>
        <w:rPr>
          <w:w w:val="55"/>
          <w:sz w:val="25"/>
          <w:lang w:eastAsia="ja-JP"/>
        </w:rPr>
        <w:t>同国の症例と死亡者数が著しく減少していることが実証されています。</w:t>
      </w:r>
      <w:r>
        <w:rPr>
          <w:color w:val="222222"/>
          <w:w w:val="55"/>
          <w:sz w:val="25"/>
          <w:lang w:eastAsia="ja-JP"/>
        </w:rPr>
        <w:t>ボリビアでは、最も高いピークを記録したのは疫学週29週目（10,939例）で、45週目には670例まで減少しました（93％の減少）。致死率は疫学週36で8％から4.5％に低下したが、これは人口の中で二酸化硫黄が大量に使用されたことと一致しており、二酸化硫黄がこの低下の原因であると断言することはできない。</w:t>
      </w:r>
      <w:hyperlink r:id="rId23">
        <w:r>
          <w:rPr>
            <w:color w:val="0D0D0D"/>
            <w:w w:val="55"/>
            <w:sz w:val="25"/>
          </w:rPr>
          <w:t>(</w:t>
        </w:r>
      </w:hyperlink>
      <w:r>
        <w:rPr>
          <w:color w:val="0D0D0D"/>
          <w:w w:val="55"/>
          <w:sz w:val="25"/>
        </w:rPr>
        <w:t>https://snis.minsalud.gob.bo/)。</w:t>
      </w:r>
      <w:r>
        <w:rPr>
          <w:w w:val="55"/>
          <w:sz w:val="25"/>
          <w:lang w:eastAsia="ja-JP"/>
        </w:rPr>
        <w:t>2020年8月20日にピークに達した1日の患者数2,031人から、2020年10月21日には1日の患者数が147人に減少し、93％の減少となった。1日の死亡者数は、2020年9月3日のピーク時の132人から、2020年10月21日には24人に減少し、死亡率は82％の減少となりました。</w:t>
      </w:r>
      <w:hyperlink r:id="rId24">
        <w:r>
          <w:rPr>
            <w:w w:val="55"/>
            <w:sz w:val="25"/>
          </w:rPr>
          <w:t>(https://www.covid19.onl/country/bolivia</w:t>
        </w:r>
      </w:hyperlink>
      <w:r>
        <w:rPr>
          <w:w w:val="55"/>
          <w:sz w:val="25"/>
        </w:rPr>
        <w:t>）となっています。)</w:t>
      </w:r>
    </w:p>
    <w:p w14:paraId="54F42F68" w14:textId="77777777" w:rsidR="0092721B" w:rsidRDefault="00D22738">
      <w:pPr>
        <w:spacing w:before="182" w:line="256" w:lineRule="auto"/>
        <w:ind w:left="129" w:right="124" w:firstLine="283"/>
        <w:jc w:val="both"/>
        <w:rPr>
          <w:sz w:val="25"/>
          <w:lang w:eastAsia="ja-JP"/>
        </w:rPr>
      </w:pPr>
      <w:r>
        <w:rPr>
          <w:w w:val="55"/>
          <w:sz w:val="25"/>
          <w:lang w:eastAsia="ja-JP"/>
        </w:rPr>
        <w:t>疫学的週齢49から53にかけて症例のリバウンドがあったものの、死亡率は比較的低いままであった。私たちの研究グループ（ボリビアでは220人以上の医師が所属）に関連する医師の中には、住民が二酸化塩素の消費を減らしたことがピークの原因ではないかとフィードバックしている人もおり、二酸化塩素の消費量が増えたことで再びピークが以前のレベルまで下がり、比較死亡率の低下が維持されている（私信）（図5）。</w:t>
      </w:r>
    </w:p>
    <w:p w14:paraId="36CB8C49" w14:textId="77777777" w:rsidR="0092721B" w:rsidRDefault="00D22738">
      <w:pPr>
        <w:pStyle w:val="a3"/>
        <w:spacing w:before="119" w:line="249" w:lineRule="auto"/>
        <w:ind w:left="129" w:right="124"/>
        <w:rPr>
          <w:lang w:eastAsia="ja-JP"/>
        </w:rPr>
      </w:pPr>
      <w:r>
        <w:rPr>
          <w:w w:val="85"/>
          <w:lang w:eastAsia="ja-JP"/>
        </w:rPr>
        <w:t>まとめると、他の国ではプラトーが維持されていたのに対し、</w:t>
      </w:r>
      <w:r>
        <w:rPr>
          <w:w w:val="80"/>
          <w:lang w:eastAsia="ja-JP"/>
        </w:rPr>
        <w:t>ボリビア</w:t>
      </w:r>
      <w:r>
        <w:rPr>
          <w:w w:val="85"/>
          <w:lang w:eastAsia="ja-JP"/>
        </w:rPr>
        <w:t>では</w:t>
      </w:r>
      <w:r>
        <w:rPr>
          <w:w w:val="80"/>
          <w:lang w:eastAsia="ja-JP"/>
        </w:rPr>
        <w:t>減少した。この減少は、（</w:t>
      </w:r>
      <w:r>
        <w:rPr>
          <w:w w:val="85"/>
          <w:lang w:eastAsia="ja-JP"/>
        </w:rPr>
        <w:t>可能</w:t>
      </w:r>
      <w:r>
        <w:rPr>
          <w:w w:val="80"/>
          <w:lang w:eastAsia="ja-JP"/>
        </w:rPr>
        <w:t>な説明として）予防</w:t>
      </w:r>
      <w:r>
        <w:rPr>
          <w:w w:val="85"/>
          <w:lang w:eastAsia="ja-JP"/>
        </w:rPr>
        <w:t>措置、二酸化塩素の消費、伝統的な薬の大量使用</w:t>
      </w:r>
      <w:r>
        <w:rPr>
          <w:w w:val="80"/>
          <w:lang w:eastAsia="ja-JP"/>
        </w:rPr>
        <w:t>に起因する</w:t>
      </w:r>
      <w:r>
        <w:rPr>
          <w:w w:val="85"/>
          <w:lang w:eastAsia="ja-JP"/>
        </w:rPr>
        <w:t>ものである。</w:t>
      </w:r>
    </w:p>
    <w:p w14:paraId="39D1AEC0" w14:textId="77777777" w:rsidR="0092721B" w:rsidRDefault="00D22738">
      <w:pPr>
        <w:pStyle w:val="3"/>
        <w:ind w:left="129"/>
        <w:jc w:val="left"/>
        <w:rPr>
          <w:lang w:eastAsia="ja-JP"/>
        </w:rPr>
      </w:pPr>
      <w:r>
        <w:rPr>
          <w:w w:val="90"/>
          <w:lang w:eastAsia="ja-JP"/>
        </w:rPr>
        <w:t>投与量</w:t>
      </w:r>
    </w:p>
    <w:p w14:paraId="3C29DA9C" w14:textId="77777777" w:rsidR="0092721B" w:rsidRDefault="00D22738">
      <w:pPr>
        <w:pStyle w:val="a3"/>
        <w:spacing w:before="114" w:line="249" w:lineRule="auto"/>
        <w:ind w:left="129" w:right="124"/>
        <w:rPr>
          <w:lang w:eastAsia="ja-JP"/>
        </w:rPr>
      </w:pPr>
      <w:r>
        <w:rPr>
          <w:w w:val="85"/>
          <w:lang w:eastAsia="ja-JP"/>
        </w:rPr>
        <w:t xml:space="preserve">In </w:t>
      </w:r>
      <w:r>
        <w:rPr>
          <w:i/>
          <w:w w:val="80"/>
          <w:lang w:eastAsia="ja-JP"/>
        </w:rPr>
        <w:t>vitro</w:t>
      </w:r>
      <w:r>
        <w:rPr>
          <w:w w:val="80"/>
          <w:lang w:eastAsia="ja-JP"/>
        </w:rPr>
        <w:t>および</w:t>
      </w:r>
      <w:r>
        <w:rPr>
          <w:i/>
          <w:w w:val="80"/>
          <w:lang w:eastAsia="ja-JP"/>
        </w:rPr>
        <w:t>in vivo</w:t>
      </w:r>
      <w:r>
        <w:rPr>
          <w:w w:val="80"/>
          <w:lang w:eastAsia="ja-JP"/>
        </w:rPr>
        <w:t>の研究では、低用量の水溶性ClO2が広範なウイルスに対して強力かつ迅速な抗ウイルス活性を示すことが実証されています。</w:t>
      </w:r>
      <w:r>
        <w:rPr>
          <w:w w:val="85"/>
          <w:lang w:eastAsia="ja-JP"/>
        </w:rPr>
        <w:t>オランダの飲料水に関する研究で、Jinら（2013）は、</w:t>
      </w:r>
      <w:r>
        <w:rPr>
          <w:w w:val="80"/>
          <w:lang w:eastAsia="ja-JP"/>
        </w:rPr>
        <w:t>0.5ppmの濃度で25分間、または1.5ppmの濃度</w:t>
      </w:r>
      <w:r>
        <w:rPr>
          <w:w w:val="85"/>
          <w:lang w:eastAsia="ja-JP"/>
        </w:rPr>
        <w:t>で10分間、または2ppmの濃度で5分間</w:t>
      </w:r>
      <w:r>
        <w:rPr>
          <w:w w:val="80"/>
          <w:lang w:eastAsia="ja-JP"/>
        </w:rPr>
        <w:t>、ClO2で処理すると、エンテロウイルス</w:t>
      </w:r>
      <w:r>
        <w:rPr>
          <w:w w:val="85"/>
          <w:lang w:eastAsia="ja-JP"/>
        </w:rPr>
        <w:t>の少なくとも4ログ減少が達成されることを明らかにした。</w:t>
      </w:r>
      <w:r>
        <w:rPr>
          <w:w w:val="80"/>
          <w:lang w:eastAsia="ja-JP"/>
        </w:rPr>
        <w:t>Schijvenら（2019）は、</w:t>
      </w:r>
      <w:r>
        <w:rPr>
          <w:w w:val="85"/>
          <w:lang w:eastAsia="ja-JP"/>
        </w:rPr>
        <w:t>ClO2（夏季は0.1ppm、冬季は0.05ppm）で処理した</w:t>
      </w:r>
      <w:r>
        <w:rPr>
          <w:w w:val="80"/>
          <w:lang w:eastAsia="ja-JP"/>
        </w:rPr>
        <w:t>市営飲料水が、アデノウイルスのレベルを飲料水として安全と考えられるレベルまで</w:t>
      </w:r>
      <w:r>
        <w:rPr>
          <w:w w:val="85"/>
          <w:lang w:eastAsia="ja-JP"/>
        </w:rPr>
        <w:t>有意に</w:t>
      </w:r>
      <w:r>
        <w:rPr>
          <w:w w:val="80"/>
          <w:lang w:eastAsia="ja-JP"/>
        </w:rPr>
        <w:t>低下させたことを実証しました。</w:t>
      </w:r>
    </w:p>
    <w:p w14:paraId="2CB46ADD" w14:textId="77777777" w:rsidR="0092721B" w:rsidRDefault="00D22738">
      <w:pPr>
        <w:pStyle w:val="a3"/>
        <w:spacing w:before="119" w:line="249" w:lineRule="auto"/>
        <w:ind w:left="129" w:right="124"/>
        <w:rPr>
          <w:lang w:eastAsia="ja-JP"/>
        </w:rPr>
      </w:pPr>
      <w:r>
        <w:rPr>
          <w:w w:val="80"/>
          <w:lang w:eastAsia="ja-JP"/>
        </w:rPr>
        <w:t>AlvarezとO'Brien(1982)は、SARS-CoVを播種した廃水に40ppmのClO2濃度を添加すると、</w:t>
      </w:r>
      <w:r>
        <w:rPr>
          <w:w w:val="90"/>
          <w:lang w:eastAsia="ja-JP"/>
        </w:rPr>
        <w:t>30分で</w:t>
      </w:r>
      <w:r>
        <w:rPr>
          <w:w w:val="80"/>
          <w:lang w:eastAsia="ja-JP"/>
        </w:rPr>
        <w:t>SARS-</w:t>
      </w:r>
      <w:r>
        <w:rPr>
          <w:w w:val="90"/>
          <w:lang w:eastAsia="ja-JP"/>
        </w:rPr>
        <w:t>CoVを</w:t>
      </w:r>
      <w:r>
        <w:rPr>
          <w:w w:val="80"/>
          <w:lang w:eastAsia="ja-JP"/>
        </w:rPr>
        <w:t>完全に不活化することを発見しました。</w:t>
      </w:r>
    </w:p>
    <w:p w14:paraId="2074721C" w14:textId="77777777" w:rsidR="0092721B" w:rsidRDefault="00D22738">
      <w:pPr>
        <w:pStyle w:val="a3"/>
        <w:spacing w:before="116" w:line="249" w:lineRule="auto"/>
        <w:ind w:left="129" w:right="124"/>
      </w:pPr>
      <w:r>
        <w:rPr>
          <w:w w:val="80"/>
          <w:lang w:eastAsia="ja-JP"/>
        </w:rPr>
        <w:t>今回の研究で使用された用量は1日30mgを21日間投与したものですが、これはNOAELを大きく下回るものであり、最悪の場合、前の行で説明したように、動物を使った過去の研究で報告されたNOAELと同じものです。</w:t>
      </w:r>
      <w:r>
        <w:rPr>
          <w:w w:val="80"/>
        </w:rPr>
        <w:t>.</w:t>
      </w:r>
    </w:p>
    <w:p w14:paraId="2E4A5D23" w14:textId="77777777" w:rsidR="0092721B" w:rsidRDefault="008834D1">
      <w:pPr>
        <w:pStyle w:val="a3"/>
        <w:spacing w:before="8"/>
        <w:ind w:left="0" w:firstLine="0"/>
        <w:jc w:val="left"/>
        <w:rPr>
          <w:sz w:val="17"/>
        </w:rPr>
      </w:pPr>
      <w:r>
        <w:pict w14:anchorId="5C774256">
          <v:shape id="docshape14" o:spid="_x0000_s1072" alt="" style="position:absolute;margin-left:313.25pt;margin-top:11.4pt;width:253.75pt;height:.1pt;z-index:-15724032;mso-wrap-edited:f;mso-width-percent:0;mso-height-percent:0;mso-wrap-distance-left:0;mso-wrap-distance-right:0;mso-position-horizontal-relative:page;mso-width-percent:0;mso-height-percent:0" coordsize="5075,1270" path="m,l5074,e" filled="f" strokecolor="#49266c" strokeweight="1pt">
            <v:path arrowok="t" o:connecttype="custom" o:connectlocs="0,0;2045963650,0" o:connectangles="0,0"/>
            <w10:wrap type="topAndBottom" anchorx="page"/>
          </v:shape>
        </w:pict>
      </w:r>
    </w:p>
    <w:p w14:paraId="75E3CDB2" w14:textId="77777777" w:rsidR="0092721B" w:rsidRDefault="00D22738">
      <w:pPr>
        <w:pStyle w:val="2"/>
        <w:ind w:left="129"/>
        <w:jc w:val="both"/>
      </w:pPr>
      <w:r>
        <w:rPr>
          <w:color w:val="49266C"/>
          <w:w w:val="80"/>
        </w:rPr>
        <w:t>材料と方法</w:t>
      </w:r>
    </w:p>
    <w:p w14:paraId="3F571888" w14:textId="77777777" w:rsidR="0092721B" w:rsidRDefault="0092721B">
      <w:pPr>
        <w:jc w:val="both"/>
        <w:sectPr w:rsidR="0092721B">
          <w:type w:val="continuous"/>
          <w:pgSz w:w="11910" w:h="16840"/>
          <w:pgMar w:top="760" w:right="440" w:bottom="280" w:left="720" w:header="814" w:footer="686" w:gutter="0"/>
          <w:cols w:num="2" w:space="720" w:equalWidth="0">
            <w:col w:w="5252" w:space="163"/>
            <w:col w:w="5335"/>
          </w:cols>
        </w:sectPr>
      </w:pPr>
    </w:p>
    <w:p w14:paraId="0B54DE6B" w14:textId="77777777" w:rsidR="0092721B" w:rsidRDefault="0092721B">
      <w:pPr>
        <w:pStyle w:val="a3"/>
        <w:spacing w:before="7"/>
        <w:ind w:left="0" w:firstLine="0"/>
        <w:jc w:val="left"/>
        <w:rPr>
          <w:b/>
          <w:sz w:val="14"/>
        </w:rPr>
      </w:pPr>
    </w:p>
    <w:p w14:paraId="51E56D83" w14:textId="77777777" w:rsidR="0092721B" w:rsidRDefault="0092721B">
      <w:pPr>
        <w:rPr>
          <w:sz w:val="14"/>
        </w:rPr>
        <w:sectPr w:rsidR="0092721B">
          <w:pgSz w:w="11910" w:h="16840"/>
          <w:pgMar w:top="1080" w:right="440" w:bottom="880" w:left="720" w:header="814" w:footer="686" w:gutter="0"/>
          <w:cols w:space="720"/>
        </w:sectPr>
      </w:pPr>
    </w:p>
    <w:p w14:paraId="69A70EBB" w14:textId="77777777" w:rsidR="0092721B" w:rsidRDefault="0092721B">
      <w:pPr>
        <w:pStyle w:val="a3"/>
        <w:spacing w:before="5" w:after="1"/>
        <w:ind w:left="0" w:firstLine="0"/>
        <w:jc w:val="left"/>
        <w:rPr>
          <w:b/>
          <w:sz w:val="23"/>
        </w:rPr>
      </w:pPr>
    </w:p>
    <w:p w14:paraId="48ED1B76" w14:textId="77777777" w:rsidR="0092721B" w:rsidRDefault="00D22738">
      <w:pPr>
        <w:pStyle w:val="a3"/>
        <w:ind w:left="148" w:right="-15" w:firstLine="0"/>
        <w:jc w:val="left"/>
        <w:rPr>
          <w:sz w:val="20"/>
        </w:rPr>
      </w:pPr>
      <w:r>
        <w:rPr>
          <w:noProof/>
          <w:sz w:val="20"/>
        </w:rPr>
        <w:drawing>
          <wp:inline distT="0" distB="0" distL="0" distR="0" wp14:anchorId="2ABD1C51" wp14:editId="33F41EC7">
            <wp:extent cx="3211764" cy="304190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3211764" cy="3041904"/>
                    </a:xfrm>
                    <a:prstGeom prst="rect">
                      <a:avLst/>
                    </a:prstGeom>
                  </pic:spPr>
                </pic:pic>
              </a:graphicData>
            </a:graphic>
          </wp:inline>
        </w:drawing>
      </w:r>
    </w:p>
    <w:p w14:paraId="4B435D8D" w14:textId="77777777" w:rsidR="0092721B" w:rsidRDefault="00D22738">
      <w:pPr>
        <w:pStyle w:val="a3"/>
        <w:spacing w:before="178"/>
        <w:ind w:left="674" w:firstLine="0"/>
        <w:jc w:val="left"/>
        <w:rPr>
          <w:lang w:eastAsia="ja-JP"/>
        </w:rPr>
      </w:pPr>
      <w:r>
        <w:rPr>
          <w:w w:val="80"/>
          <w:lang w:eastAsia="ja-JP"/>
        </w:rPr>
        <w:t>図5：ラテンアメリカにおけるコロナウイルスの死亡率の推移</w:t>
      </w:r>
    </w:p>
    <w:p w14:paraId="7268C256" w14:textId="77777777" w:rsidR="0092721B" w:rsidRDefault="0092721B">
      <w:pPr>
        <w:pStyle w:val="a3"/>
        <w:ind w:left="0" w:firstLine="0"/>
        <w:jc w:val="left"/>
        <w:rPr>
          <w:lang w:eastAsia="ja-JP"/>
        </w:rPr>
      </w:pPr>
    </w:p>
    <w:p w14:paraId="37F44E76" w14:textId="77777777" w:rsidR="0092721B" w:rsidRDefault="00D22738">
      <w:pPr>
        <w:pStyle w:val="a3"/>
        <w:spacing w:before="1" w:line="249" w:lineRule="auto"/>
        <w:ind w:right="38"/>
      </w:pPr>
      <w:r>
        <w:rPr>
          <w:w w:val="85"/>
        </w:rPr>
        <w:t>二酸化塩素に関する科学的情報を最大限に検索するために，Google Scholar，PubMed（Medline），LILACS，</w:t>
      </w:r>
      <w:r>
        <w:rPr>
          <w:w w:val="80"/>
        </w:rPr>
        <w:t>Cochrane Library，Science，Scielo，MedScape</w:t>
      </w:r>
      <w:r>
        <w:rPr>
          <w:w w:val="85"/>
        </w:rPr>
        <w:t>を検索し</w:t>
      </w:r>
      <w:r>
        <w:rPr>
          <w:w w:val="80"/>
        </w:rPr>
        <w:t>，英語</w:t>
      </w:r>
      <w:r>
        <w:rPr>
          <w:w w:val="85"/>
        </w:rPr>
        <w:t>とスペイン語</w:t>
      </w:r>
      <w:r>
        <w:rPr>
          <w:w w:val="80"/>
        </w:rPr>
        <w:t>で，</w:t>
      </w:r>
      <w:r>
        <w:rPr>
          <w:w w:val="85"/>
        </w:rPr>
        <w:t>二酸化塩素，ウイルス，</w:t>
      </w:r>
      <w:r>
        <w:rPr>
          <w:w w:val="80"/>
        </w:rPr>
        <w:t>SARS-CoV-2，コロナウイルス，酸化剤，浄水，"Chlorine dioxide" OR "Chlorine dioxide protocol" OR Chlorine dioxide AND virusという</w:t>
      </w:r>
      <w:r>
        <w:rPr>
          <w:w w:val="85"/>
        </w:rPr>
        <w:t>検索語を含む</w:t>
      </w:r>
      <w:r>
        <w:rPr>
          <w:w w:val="80"/>
        </w:rPr>
        <w:t xml:space="preserve">論文を探しました。二酸化塩素 AND SARS-COV-2; OR "COVID-19 drug treatment" OR "spike glycoprotein, COVID-19 virus" OR "severe acute respiratory syndrome coronavirus 2" OR </w:t>
      </w:r>
      <w:r>
        <w:rPr>
          <w:spacing w:val="-1"/>
          <w:w w:val="85"/>
        </w:rPr>
        <w:t xml:space="preserve">"COVID-19" </w:t>
      </w:r>
      <w:r>
        <w:rPr>
          <w:w w:val="85"/>
        </w:rPr>
        <w:t>OR "2019-nCoV" OR "SARS-CoV-2" O "2019 new coronavirus</w:t>
      </w:r>
    </w:p>
    <w:p w14:paraId="3272CA07" w14:textId="77777777" w:rsidR="0092721B" w:rsidRDefault="00D22738">
      <w:pPr>
        <w:pStyle w:val="a3"/>
        <w:spacing w:before="6"/>
        <w:ind w:firstLine="0"/>
        <w:jc w:val="left"/>
        <w:rPr>
          <w:lang w:eastAsia="ja-JP"/>
        </w:rPr>
      </w:pPr>
      <w:r>
        <w:rPr>
          <w:w w:val="80"/>
          <w:lang w:eastAsia="ja-JP"/>
        </w:rPr>
        <w:t>"OR "2019年コロナウイルス感染症 "OR（肺炎）"。</w:t>
      </w:r>
    </w:p>
    <w:p w14:paraId="78BD3B1E" w14:textId="77777777" w:rsidR="0092721B" w:rsidRDefault="00D22738">
      <w:pPr>
        <w:pStyle w:val="a3"/>
        <w:spacing w:before="123" w:line="249" w:lineRule="auto"/>
        <w:ind w:right="38"/>
      </w:pPr>
      <w:r>
        <w:rPr>
          <w:w w:val="85"/>
          <w:lang w:eastAsia="ja-JP"/>
        </w:rPr>
        <w:t>さらに、これらの同じ検索</w:t>
      </w:r>
      <w:r>
        <w:rPr>
          <w:w w:val="80"/>
          <w:lang w:eastAsia="ja-JP"/>
        </w:rPr>
        <w:t>語</w:t>
      </w:r>
      <w:r>
        <w:rPr>
          <w:w w:val="85"/>
          <w:lang w:eastAsia="ja-JP"/>
        </w:rPr>
        <w:t>を用いてGoogle検索を行いました。対象とし</w:t>
      </w:r>
      <w:r>
        <w:rPr>
          <w:w w:val="80"/>
          <w:lang w:eastAsia="ja-JP"/>
        </w:rPr>
        <w:t>た論文は、COVID-19の予防または治療としてのClO2の使用の可能性、</w:t>
      </w:r>
      <w:r>
        <w:rPr>
          <w:w w:val="85"/>
          <w:lang w:eastAsia="ja-JP"/>
        </w:rPr>
        <w:t>物質の</w:t>
      </w:r>
      <w:r>
        <w:rPr>
          <w:w w:val="80"/>
          <w:lang w:eastAsia="ja-JP"/>
        </w:rPr>
        <w:t>有益な</w:t>
      </w:r>
      <w:r>
        <w:rPr>
          <w:w w:val="85"/>
          <w:lang w:eastAsia="ja-JP"/>
        </w:rPr>
        <w:t>側面および悪意や毒性の影響の可能性に</w:t>
      </w:r>
      <w:r>
        <w:rPr>
          <w:w w:val="80"/>
          <w:lang w:eastAsia="ja-JP"/>
        </w:rPr>
        <w:t>関連する出版物で構成されました。</w:t>
      </w:r>
      <w:r>
        <w:rPr>
          <w:w w:val="85"/>
          <w:lang w:eastAsia="ja-JP"/>
        </w:rPr>
        <w:t>検索されたすべての論文がスクリーニングされ、関連する抄録のサブセットが</w:t>
      </w:r>
      <w:r>
        <w:rPr>
          <w:w w:val="80"/>
          <w:lang w:eastAsia="ja-JP"/>
        </w:rPr>
        <w:t>選択され、さらに評価されました。そして、これらの論文の書誌を検索し、追加の文献を探した。このレビューに含めるために選択された最終的な記事は、歴史的な用途、化学的性質、毒性、</w:t>
      </w:r>
      <w:r>
        <w:rPr>
          <w:w w:val="85"/>
          <w:lang w:eastAsia="ja-JP"/>
        </w:rPr>
        <w:t>抗菌性および病原性のあるClO2、in vitro</w:t>
      </w:r>
      <w:r>
        <w:rPr>
          <w:spacing w:val="-1"/>
          <w:w w:val="85"/>
          <w:lang w:eastAsia="ja-JP"/>
        </w:rPr>
        <w:t>およびin vivo</w:t>
      </w:r>
      <w:r>
        <w:rPr>
          <w:w w:val="85"/>
          <w:lang w:eastAsia="ja-JP"/>
        </w:rPr>
        <w:t>での動物での過去の研究、</w:t>
      </w:r>
      <w:r>
        <w:rPr>
          <w:spacing w:val="-1"/>
          <w:w w:val="85"/>
          <w:lang w:eastAsia="ja-JP"/>
        </w:rPr>
        <w:t>および</w:t>
      </w:r>
      <w:r>
        <w:rPr>
          <w:w w:val="85"/>
          <w:lang w:eastAsia="ja-JP"/>
        </w:rPr>
        <w:t>ヒト</w:t>
      </w:r>
      <w:r>
        <w:rPr>
          <w:spacing w:val="-1"/>
          <w:w w:val="85"/>
          <w:lang w:eastAsia="ja-JP"/>
        </w:rPr>
        <w:t>での研究</w:t>
      </w:r>
      <w:r>
        <w:rPr>
          <w:w w:val="80"/>
          <w:lang w:eastAsia="ja-JP"/>
        </w:rPr>
        <w:t>を調査した記事で構成されました。</w:t>
      </w:r>
      <w:hyperlink r:id="rId26">
        <w:r>
          <w:rPr>
            <w:w w:val="85"/>
          </w:rPr>
          <w:t xml:space="preserve">www.clinicaltrials.gov </w:t>
        </w:r>
      </w:hyperlink>
      <w:r>
        <w:rPr>
          <w:w w:val="85"/>
        </w:rPr>
        <w:t>の登録</w:t>
      </w:r>
      <w:r>
        <w:rPr>
          <w:w w:val="80"/>
        </w:rPr>
        <w:t>と WHO International Clinical Registry Platform (ICTRP) の</w:t>
      </w:r>
      <w:r>
        <w:rPr>
          <w:w w:val="85"/>
        </w:rPr>
        <w:t>登録を確認し、進行中または未発表の臨床試験を特定しました。</w:t>
      </w:r>
    </w:p>
    <w:p w14:paraId="0E91E02B" w14:textId="77777777" w:rsidR="0092721B" w:rsidRDefault="00D22738">
      <w:pPr>
        <w:pStyle w:val="a3"/>
        <w:spacing w:before="122" w:line="249" w:lineRule="auto"/>
        <w:ind w:right="38"/>
        <w:rPr>
          <w:lang w:eastAsia="ja-JP"/>
        </w:rPr>
      </w:pPr>
      <w:r>
        <w:rPr>
          <w:w w:val="85"/>
          <w:lang w:eastAsia="ja-JP"/>
        </w:rPr>
        <w:t>検索結果の中から、</w:t>
      </w:r>
      <w:r>
        <w:rPr>
          <w:w w:val="80"/>
          <w:lang w:eastAsia="ja-JP"/>
        </w:rPr>
        <w:t>二酸化塩素の様々な微生物、特にウイルスに対する</w:t>
      </w:r>
      <w:r>
        <w:rPr>
          <w:w w:val="85"/>
          <w:lang w:eastAsia="ja-JP"/>
        </w:rPr>
        <w:t>殺傷作用に言及しているものを選び、その中からSARS-CoV-2またはSARS-CoVを選びました。</w:t>
      </w:r>
    </w:p>
    <w:p w14:paraId="0D518540" w14:textId="77777777" w:rsidR="0092721B" w:rsidRDefault="00D22738">
      <w:pPr>
        <w:pStyle w:val="a3"/>
        <w:spacing w:before="116" w:line="249" w:lineRule="auto"/>
        <w:ind w:right="38"/>
        <w:rPr>
          <w:lang w:eastAsia="ja-JP"/>
        </w:rPr>
      </w:pPr>
      <w:r>
        <w:rPr>
          <w:w w:val="85"/>
          <w:lang w:eastAsia="ja-JP"/>
        </w:rPr>
        <w:t>一方、</w:t>
      </w:r>
      <w:r>
        <w:rPr>
          <w:w w:val="80"/>
          <w:lang w:eastAsia="ja-JP"/>
        </w:rPr>
        <w:t>SARS- CoV-2の細胞内での作用、ACE2との相互作用を記述した論文を選択し、特に、</w:t>
      </w:r>
      <w:r>
        <w:rPr>
          <w:w w:val="85"/>
          <w:lang w:eastAsia="ja-JP"/>
        </w:rPr>
        <w:t>3次元表現のための拡張現実（AR）動画やSILICOをベースにしたシミュレーション動画</w:t>
      </w:r>
      <w:r>
        <w:rPr>
          <w:w w:val="80"/>
          <w:lang w:eastAsia="ja-JP"/>
        </w:rPr>
        <w:t>を調査した。</w:t>
      </w:r>
      <w:r>
        <w:rPr>
          <w:w w:val="85"/>
          <w:lang w:eastAsia="ja-JP"/>
        </w:rPr>
        <w:t>拡張現実ソフトウェアChimeraX（UCSF）を用いて、</w:t>
      </w:r>
      <w:r>
        <w:rPr>
          <w:w w:val="80"/>
          <w:lang w:eastAsia="ja-JP"/>
        </w:rPr>
        <w:t>スピキュラータンパク質とACE2受容体（37）を操作し</w:t>
      </w:r>
      <w:r>
        <w:rPr>
          <w:w w:val="85"/>
          <w:lang w:eastAsia="ja-JP"/>
        </w:rPr>
        <w:t>た動画などの作用部位のデ</w:t>
      </w:r>
    </w:p>
    <w:p w14:paraId="0B71A180" w14:textId="77777777" w:rsidR="0092721B" w:rsidRDefault="00D22738">
      <w:pPr>
        <w:pStyle w:val="a3"/>
        <w:spacing w:before="117" w:line="249" w:lineRule="auto"/>
        <w:ind w:right="38"/>
        <w:rPr>
          <w:lang w:eastAsia="ja-JP"/>
        </w:rPr>
      </w:pPr>
      <w:r>
        <w:rPr>
          <w:w w:val="80"/>
          <w:lang w:eastAsia="ja-JP"/>
        </w:rPr>
        <w:t>同様に、</w:t>
      </w:r>
      <w:r>
        <w:rPr>
          <w:w w:val="85"/>
          <w:lang w:eastAsia="ja-JP"/>
        </w:rPr>
        <w:t>ウイルススパイクの構造を確認し、</w:t>
      </w:r>
      <w:r>
        <w:rPr>
          <w:w w:val="80"/>
          <w:lang w:eastAsia="ja-JP"/>
        </w:rPr>
        <w:t>テキサス大学のDaniel Wrapp氏とJason S. McLellan氏の研究を参考にして</w:t>
      </w:r>
      <w:r>
        <w:rPr>
          <w:w w:val="85"/>
          <w:lang w:eastAsia="ja-JP"/>
        </w:rPr>
        <w:t>、並行して行った研究では、</w:t>
      </w:r>
      <w:r>
        <w:rPr>
          <w:w w:val="90"/>
          <w:lang w:eastAsia="ja-JP"/>
        </w:rPr>
        <w:t>二酸化塩素がSAR-CoV-2に</w:t>
      </w:r>
      <w:r>
        <w:rPr>
          <w:w w:val="85"/>
          <w:lang w:eastAsia="ja-JP"/>
        </w:rPr>
        <w:t>どのように</w:t>
      </w:r>
      <w:r>
        <w:rPr>
          <w:w w:val="90"/>
          <w:lang w:eastAsia="ja-JP"/>
        </w:rPr>
        <w:t>作用するかの</w:t>
      </w:r>
      <w:r>
        <w:rPr>
          <w:w w:val="85"/>
          <w:lang w:eastAsia="ja-JP"/>
        </w:rPr>
        <w:t>仮説を立てることができました。</w:t>
      </w:r>
    </w:p>
    <w:p w14:paraId="214D5649" w14:textId="77777777" w:rsidR="0092721B" w:rsidRDefault="00D22738">
      <w:pPr>
        <w:pStyle w:val="a3"/>
        <w:spacing w:before="117" w:line="249" w:lineRule="auto"/>
        <w:ind w:right="38"/>
        <w:rPr>
          <w:lang w:eastAsia="ja-JP"/>
        </w:rPr>
      </w:pPr>
      <w:r>
        <w:rPr>
          <w:w w:val="85"/>
          <w:lang w:eastAsia="ja-JP"/>
        </w:rPr>
        <w:t>二酸化塩素は有益であり</w:t>
      </w:r>
      <w:r>
        <w:rPr>
          <w:w w:val="80"/>
          <w:lang w:eastAsia="ja-JP"/>
        </w:rPr>
        <w:t>、COVID19パンデミックでの使用は、これまでに明らかにされた科学的基盤に基づいて制御するための計り知れない可能性に</w:t>
      </w:r>
      <w:r>
        <w:rPr>
          <w:w w:val="80"/>
          <w:lang w:eastAsia="ja-JP"/>
        </w:rPr>
        <w:t>転じていると</w:t>
      </w:r>
      <w:r>
        <w:rPr>
          <w:w w:val="85"/>
          <w:lang w:eastAsia="ja-JP"/>
        </w:rPr>
        <w:t>結論づけるために必要な情報を持つ</w:t>
      </w:r>
    </w:p>
    <w:p w14:paraId="2EF3FD7F" w14:textId="77777777" w:rsidR="0092721B" w:rsidRDefault="00D22738">
      <w:pPr>
        <w:pStyle w:val="a3"/>
        <w:spacing w:before="104" w:line="249" w:lineRule="auto"/>
        <w:ind w:right="124" w:firstLine="0"/>
        <w:rPr>
          <w:lang w:eastAsia="ja-JP"/>
        </w:rPr>
      </w:pPr>
      <w:r>
        <w:rPr>
          <w:lang w:eastAsia="ja-JP"/>
        </w:rPr>
        <w:br w:type="column"/>
      </w:r>
      <w:r>
        <w:rPr>
          <w:w w:val="85"/>
          <w:lang w:eastAsia="ja-JP"/>
        </w:rPr>
        <w:lastRenderedPageBreak/>
        <w:t>その結果、</w:t>
      </w:r>
      <w:r>
        <w:rPr>
          <w:w w:val="90"/>
          <w:lang w:eastAsia="ja-JP"/>
        </w:rPr>
        <w:t>COVID19の治療において</w:t>
      </w:r>
      <w:r>
        <w:rPr>
          <w:w w:val="80"/>
          <w:lang w:eastAsia="ja-JP"/>
        </w:rPr>
        <w:t>経口投与が有効であるかどうかを判断するための調査を実施することに</w:t>
      </w:r>
      <w:r>
        <w:rPr>
          <w:w w:val="85"/>
          <w:lang w:eastAsia="ja-JP"/>
        </w:rPr>
        <w:t>しました。</w:t>
      </w:r>
    </w:p>
    <w:p w14:paraId="6150B5D8" w14:textId="77777777" w:rsidR="0092721B" w:rsidRDefault="00D22738">
      <w:pPr>
        <w:pStyle w:val="a3"/>
        <w:spacing w:before="115" w:line="249" w:lineRule="auto"/>
        <w:ind w:right="124"/>
        <w:rPr>
          <w:lang w:eastAsia="ja-JP"/>
        </w:rPr>
      </w:pPr>
      <w:r>
        <w:rPr>
          <w:w w:val="85"/>
          <w:lang w:eastAsia="ja-JP"/>
        </w:rPr>
        <w:t>私たちは、</w:t>
      </w:r>
      <w:r>
        <w:rPr>
          <w:w w:val="80"/>
          <w:lang w:eastAsia="ja-JP"/>
        </w:rPr>
        <w:t>世界中で迅速に</w:t>
      </w:r>
      <w:r>
        <w:rPr>
          <w:w w:val="85"/>
          <w:lang w:eastAsia="ja-JP"/>
        </w:rPr>
        <w:t>実施可能な、</w:t>
      </w:r>
      <w:r>
        <w:rPr>
          <w:spacing w:val="-1"/>
          <w:w w:val="85"/>
          <w:lang w:eastAsia="ja-JP"/>
        </w:rPr>
        <w:t>効果的で迅速かつ</w:t>
      </w:r>
      <w:r>
        <w:rPr>
          <w:w w:val="85"/>
          <w:lang w:eastAsia="ja-JP"/>
        </w:rPr>
        <w:t>経済的な治療法</w:t>
      </w:r>
      <w:r>
        <w:rPr>
          <w:spacing w:val="-1"/>
          <w:w w:val="85"/>
          <w:lang w:eastAsia="ja-JP"/>
        </w:rPr>
        <w:t>の選択肢</w:t>
      </w:r>
      <w:r>
        <w:rPr>
          <w:w w:val="85"/>
          <w:lang w:eastAsia="ja-JP"/>
        </w:rPr>
        <w:t>を検証することが急務であること</w:t>
      </w:r>
      <w:r>
        <w:rPr>
          <w:w w:val="80"/>
          <w:lang w:eastAsia="ja-JP"/>
        </w:rPr>
        <w:t>から、準実験的な臨床試験を選択し、</w:t>
      </w:r>
      <w:r>
        <w:rPr>
          <w:w w:val="85"/>
          <w:lang w:eastAsia="ja-JP"/>
        </w:rPr>
        <w:t>第</w:t>
      </w:r>
      <w:r>
        <w:rPr>
          <w:b/>
          <w:w w:val="85"/>
          <w:lang w:eastAsia="ja-JP"/>
        </w:rPr>
        <w:t>IIa相</w:t>
      </w:r>
      <w:r>
        <w:rPr>
          <w:w w:val="85"/>
          <w:lang w:eastAsia="ja-JP"/>
        </w:rPr>
        <w:t>デザインを実施することにしまし</w:t>
      </w:r>
      <w:r>
        <w:rPr>
          <w:w w:val="80"/>
          <w:lang w:eastAsia="ja-JP"/>
        </w:rPr>
        <w:t>た。</w:t>
      </w:r>
    </w:p>
    <w:p w14:paraId="705D0EF6" w14:textId="77777777" w:rsidR="0092721B" w:rsidRDefault="00D22738">
      <w:pPr>
        <w:pStyle w:val="a3"/>
        <w:spacing w:before="116" w:line="249" w:lineRule="auto"/>
        <w:ind w:right="124"/>
      </w:pPr>
      <w:r>
        <w:rPr>
          <w:w w:val="80"/>
        </w:rPr>
        <w:t>MedlineおよびPubmedデータベースのNCBI（National Center for Biotechnology Information）では、最近、ECE（Quasi Experimental Studies）の概念をMeSH用語の「Non-Randomized Controlled Trials as Topic」に含めています</w:t>
      </w:r>
      <w:r>
        <w:rPr>
          <w:w w:val="90"/>
        </w:rPr>
        <w:t>（NCBI, 2015）。</w:t>
      </w:r>
    </w:p>
    <w:p w14:paraId="3D13D7FF" w14:textId="77777777" w:rsidR="0092721B" w:rsidRDefault="00D22738">
      <w:pPr>
        <w:pStyle w:val="a3"/>
        <w:spacing w:before="116" w:line="249" w:lineRule="auto"/>
        <w:ind w:right="124"/>
        <w:rPr>
          <w:lang w:eastAsia="ja-JP"/>
        </w:rPr>
      </w:pPr>
      <w:r>
        <w:rPr>
          <w:w w:val="85"/>
          <w:lang w:eastAsia="ja-JP"/>
        </w:rPr>
        <w:t>研究プロトコルが完成した後、clinicaltrials.govに登録することが決定され、2020年4月7日に</w:t>
      </w:r>
      <w:r>
        <w:rPr>
          <w:color w:val="0D0D0D"/>
          <w:w w:val="85"/>
          <w:lang w:eastAsia="ja-JP"/>
        </w:rPr>
        <w:t>NCT 04343742</w:t>
      </w:r>
      <w:r>
        <w:rPr>
          <w:w w:val="85"/>
          <w:lang w:eastAsia="ja-JP"/>
        </w:rPr>
        <w:t>という番号で受理されました。研究</w:t>
      </w:r>
      <w:r>
        <w:rPr>
          <w:color w:val="0D0D0D"/>
          <w:w w:val="85"/>
          <w:lang w:eastAsia="ja-JP"/>
        </w:rPr>
        <w:t>計画は、より迅速にサンプルを収集し、将来的にはより大規模で代表的なサンプルを得るために、国際的な多施設で行われました。同じプロトコールを</w:t>
      </w:r>
      <w:r>
        <w:rPr>
          <w:color w:val="0D0D0D"/>
          <w:w w:val="80"/>
          <w:lang w:eastAsia="ja-JP"/>
        </w:rPr>
        <w:t>アメリカの11の国とスペインでも</w:t>
      </w:r>
      <w:r>
        <w:rPr>
          <w:color w:val="0D0D0D"/>
          <w:w w:val="85"/>
          <w:lang w:eastAsia="ja-JP"/>
        </w:rPr>
        <w:t>発表し</w:t>
      </w:r>
      <w:r>
        <w:rPr>
          <w:color w:val="0D0D0D"/>
          <w:w w:val="80"/>
          <w:lang w:eastAsia="ja-JP"/>
        </w:rPr>
        <w:t>、承認を得ました。残念なことに、</w:t>
      </w:r>
      <w:r>
        <w:rPr>
          <w:color w:val="0D0D0D"/>
          <w:w w:val="85"/>
          <w:lang w:eastAsia="ja-JP"/>
        </w:rPr>
        <w:t>すべての国の</w:t>
      </w:r>
      <w:r>
        <w:rPr>
          <w:color w:val="0D0D0D"/>
          <w:w w:val="80"/>
          <w:lang w:eastAsia="ja-JP"/>
        </w:rPr>
        <w:t>麻薬</w:t>
      </w:r>
      <w:r>
        <w:rPr>
          <w:color w:val="0D0D0D"/>
          <w:w w:val="85"/>
          <w:lang w:eastAsia="ja-JP"/>
        </w:rPr>
        <w:t>取締機関が警告を発し、さらには食用としての使用を禁止したため、倫理委員会が</w:t>
      </w:r>
      <w:r>
        <w:rPr>
          <w:color w:val="0D0D0D"/>
          <w:spacing w:val="-1"/>
          <w:w w:val="85"/>
          <w:lang w:eastAsia="ja-JP"/>
        </w:rPr>
        <w:t>プロトコル</w:t>
      </w:r>
      <w:r>
        <w:rPr>
          <w:color w:val="0D0D0D"/>
          <w:w w:val="85"/>
          <w:lang w:eastAsia="ja-JP"/>
        </w:rPr>
        <w:t>を</w:t>
      </w:r>
      <w:r>
        <w:rPr>
          <w:color w:val="0D0D0D"/>
          <w:spacing w:val="-1"/>
          <w:w w:val="85"/>
          <w:lang w:eastAsia="ja-JP"/>
        </w:rPr>
        <w:t>承認</w:t>
      </w:r>
      <w:r>
        <w:rPr>
          <w:color w:val="0D0D0D"/>
          <w:w w:val="85"/>
          <w:lang w:eastAsia="ja-JP"/>
        </w:rPr>
        <w:t>することは困難でした。</w:t>
      </w:r>
      <w:r>
        <w:rPr>
          <w:color w:val="0D0D0D"/>
          <w:spacing w:val="-1"/>
          <w:w w:val="85"/>
          <w:lang w:eastAsia="ja-JP"/>
        </w:rPr>
        <w:t>ボリビアでは</w:t>
      </w:r>
      <w:r>
        <w:rPr>
          <w:color w:val="0D0D0D"/>
          <w:w w:val="85"/>
          <w:lang w:eastAsia="ja-JP"/>
        </w:rPr>
        <w:t>、2020年に</w:t>
      </w:r>
      <w:r>
        <w:rPr>
          <w:w w:val="85"/>
          <w:lang w:eastAsia="ja-JP"/>
        </w:rPr>
        <w:t>第1351号という</w:t>
      </w:r>
      <w:r>
        <w:rPr>
          <w:color w:val="0D0D0D"/>
          <w:w w:val="85"/>
          <w:lang w:eastAsia="ja-JP"/>
        </w:rPr>
        <w:t>法律が承認されました。ボリビアでは、</w:t>
      </w:r>
      <w:r>
        <w:rPr>
          <w:w w:val="85"/>
          <w:lang w:eastAsia="ja-JP"/>
        </w:rPr>
        <w:t>コロナウイルスのパンデミック（COVID19）に備えて、予防と治療を目的としたCDS二酸化塩素溶液</w:t>
      </w:r>
      <w:r>
        <w:rPr>
          <w:w w:val="80"/>
          <w:lang w:eastAsia="ja-JP"/>
        </w:rPr>
        <w:t>の製造、商業化、供給、および同意に基づく使用を認める法律（</w:t>
      </w:r>
      <w:r>
        <w:rPr>
          <w:w w:val="85"/>
          <w:lang w:eastAsia="ja-JP"/>
        </w:rPr>
        <w:t>2020年1351号）が承認されました。</w:t>
      </w:r>
      <w:r>
        <w:rPr>
          <w:color w:val="0D0D0D"/>
          <w:w w:val="85"/>
          <w:lang w:eastAsia="ja-JP"/>
        </w:rPr>
        <w:t>ボリビア保健省が承認した倫理委員会が合法的に設立され、5つの大学（オルロ工科大学、</w:t>
      </w:r>
      <w:r>
        <w:rPr>
          <w:color w:val="0D0D0D"/>
          <w:w w:val="80"/>
          <w:lang w:eastAsia="ja-JP"/>
        </w:rPr>
        <w:t>エル・アルト</w:t>
      </w:r>
      <w:r>
        <w:rPr>
          <w:color w:val="0D0D0D"/>
          <w:w w:val="85"/>
          <w:lang w:eastAsia="ja-JP"/>
        </w:rPr>
        <w:t>公立大学</w:t>
      </w:r>
      <w:r>
        <w:rPr>
          <w:color w:val="0D0D0D"/>
          <w:w w:val="80"/>
          <w:lang w:eastAsia="ja-JP"/>
        </w:rPr>
        <w:t>、サン・シモン市長大学、ガブリエル・レネ・モレノ自治</w:t>
      </w:r>
      <w:r>
        <w:rPr>
          <w:color w:val="0D0D0D"/>
          <w:w w:val="85"/>
          <w:lang w:eastAsia="ja-JP"/>
        </w:rPr>
        <w:t>大学、ヤクアイバ「グラン・チャコ」工科大学</w:t>
      </w:r>
      <w:r>
        <w:rPr>
          <w:w w:val="85"/>
          <w:lang w:eastAsia="ja-JP"/>
        </w:rPr>
        <w:t>）</w:t>
      </w:r>
      <w:r>
        <w:rPr>
          <w:color w:val="0D0D0D"/>
          <w:w w:val="85"/>
          <w:lang w:eastAsia="ja-JP"/>
        </w:rPr>
        <w:t>で構成</w:t>
      </w:r>
      <w:r>
        <w:rPr>
          <w:color w:val="0D0D0D"/>
          <w:w w:val="80"/>
          <w:lang w:eastAsia="ja-JP"/>
        </w:rPr>
        <w:t>される、国際的な範囲で遡及的な</w:t>
      </w:r>
      <w:r>
        <w:rPr>
          <w:color w:val="0D0D0D"/>
          <w:w w:val="85"/>
          <w:lang w:eastAsia="ja-JP"/>
        </w:rPr>
        <w:t>この</w:t>
      </w:r>
      <w:r>
        <w:rPr>
          <w:color w:val="0D0D0D"/>
          <w:w w:val="80"/>
          <w:lang w:eastAsia="ja-JP"/>
        </w:rPr>
        <w:t>多施設研究プロトコル</w:t>
      </w:r>
      <w:r>
        <w:rPr>
          <w:color w:val="0D0D0D"/>
          <w:w w:val="85"/>
          <w:lang w:eastAsia="ja-JP"/>
        </w:rPr>
        <w:t>が承認されました。これらの大学は、</w:t>
      </w:r>
      <w:r>
        <w:rPr>
          <w:color w:val="0D0D0D"/>
          <w:w w:val="80"/>
          <w:lang w:eastAsia="ja-JP"/>
        </w:rPr>
        <w:t>科学的および倫理的な臨床研究委員会を通じて、さまざまな用途に使用する二酸化塩素に関する独自の研究を行っています[20-35]。</w:t>
      </w:r>
    </w:p>
    <w:p w14:paraId="3D522961" w14:textId="77777777" w:rsidR="0092721B" w:rsidRDefault="00D22738">
      <w:pPr>
        <w:pStyle w:val="3"/>
        <w:spacing w:before="114"/>
        <w:rPr>
          <w:lang w:eastAsia="ja-JP"/>
        </w:rPr>
      </w:pPr>
      <w:r>
        <w:rPr>
          <w:w w:val="80"/>
          <w:lang w:eastAsia="ja-JP"/>
        </w:rPr>
        <w:t>データ収集と登録</w:t>
      </w:r>
    </w:p>
    <w:p w14:paraId="140A3C9E" w14:textId="77777777" w:rsidR="0092721B" w:rsidRDefault="00D22738">
      <w:pPr>
        <w:pStyle w:val="a3"/>
        <w:spacing w:before="114" w:line="249" w:lineRule="auto"/>
        <w:ind w:right="124"/>
        <w:rPr>
          <w:lang w:eastAsia="ja-JP"/>
        </w:rPr>
      </w:pPr>
      <w:r>
        <w:rPr>
          <w:w w:val="80"/>
          <w:lang w:eastAsia="ja-JP"/>
        </w:rPr>
        <w:t>データの収集と記録は、人口統計学的</w:t>
      </w:r>
      <w:r>
        <w:rPr>
          <w:w w:val="85"/>
          <w:lang w:eastAsia="ja-JP"/>
        </w:rPr>
        <w:t>データと症状に関するデータ</w:t>
      </w:r>
      <w:r>
        <w:rPr>
          <w:w w:val="80"/>
          <w:lang w:eastAsia="ja-JP"/>
        </w:rPr>
        <w:t>を記録する</w:t>
      </w:r>
      <w:r>
        <w:rPr>
          <w:w w:val="85"/>
          <w:lang w:eastAsia="ja-JP"/>
        </w:rPr>
        <w:t>とともに、</w:t>
      </w:r>
      <w:r>
        <w:rPr>
          <w:w w:val="80"/>
          <w:lang w:eastAsia="ja-JP"/>
        </w:rPr>
        <w:t>よりよい評価と比較ができるように、</w:t>
      </w:r>
      <w:r>
        <w:rPr>
          <w:w w:val="85"/>
          <w:lang w:eastAsia="ja-JP"/>
        </w:rPr>
        <w:t>視覚的アナログスケール（VAS）に基づいた観察尺度と、リッカート尺度で整理された検査パラメーターを用いて行われました。この</w:t>
      </w:r>
      <w:r>
        <w:rPr>
          <w:w w:val="80"/>
          <w:lang w:eastAsia="ja-JP"/>
        </w:rPr>
        <w:t>ようにして作成された機器やフォーマットは、</w:t>
      </w:r>
      <w:r>
        <w:rPr>
          <w:w w:val="90"/>
          <w:lang w:eastAsia="ja-JP"/>
        </w:rPr>
        <w:t>以下のような特徴</w:t>
      </w:r>
      <w:r>
        <w:rPr>
          <w:w w:val="80"/>
          <w:lang w:eastAsia="ja-JP"/>
        </w:rPr>
        <w:t>を持つ研究用に特別に設計されたソフトウェアに記録されました。</w:t>
      </w:r>
    </w:p>
    <w:p w14:paraId="67C42CB9" w14:textId="77777777" w:rsidR="0092721B" w:rsidRDefault="00D22738">
      <w:pPr>
        <w:pStyle w:val="a3"/>
        <w:spacing w:before="118" w:line="249" w:lineRule="auto"/>
        <w:ind w:right="125"/>
        <w:rPr>
          <w:lang w:eastAsia="ja-JP"/>
        </w:rPr>
      </w:pPr>
      <w:r>
        <w:rPr>
          <w:w w:val="85"/>
          <w:lang w:eastAsia="ja-JP"/>
        </w:rPr>
        <w:t>調査に必要な情報をPC、</w:t>
      </w:r>
      <w:r>
        <w:rPr>
          <w:w w:val="90"/>
          <w:lang w:eastAsia="ja-JP"/>
        </w:rPr>
        <w:t>スマートフォン、タブレット</w:t>
      </w:r>
      <w:r>
        <w:rPr>
          <w:w w:val="85"/>
          <w:lang w:eastAsia="ja-JP"/>
        </w:rPr>
        <w:t>で登録するために、専用のWEB環境の電子フォームを作成しました。</w:t>
      </w:r>
    </w:p>
    <w:p w14:paraId="6BF49F4E" w14:textId="77777777" w:rsidR="0092721B" w:rsidRDefault="00D22738">
      <w:pPr>
        <w:pStyle w:val="a3"/>
        <w:spacing w:before="115" w:line="249" w:lineRule="auto"/>
        <w:ind w:right="125"/>
        <w:rPr>
          <w:lang w:eastAsia="ja-JP"/>
        </w:rPr>
      </w:pPr>
      <w:r>
        <w:rPr>
          <w:w w:val="85"/>
          <w:lang w:eastAsia="ja-JP"/>
        </w:rPr>
        <w:t>このアプリケーションは、2020年にSCORPII SAS社が開発したもので、</w:t>
      </w:r>
      <w:r>
        <w:rPr>
          <w:w w:val="90"/>
          <w:lang w:eastAsia="ja-JP"/>
        </w:rPr>
        <w:t>以下の機能を備えています</w:t>
      </w:r>
      <w:r>
        <w:rPr>
          <w:w w:val="85"/>
          <w:lang w:eastAsia="ja-JP"/>
        </w:rPr>
        <w:t>。</w:t>
      </w:r>
    </w:p>
    <w:p w14:paraId="229054F8" w14:textId="77777777" w:rsidR="0092721B" w:rsidRDefault="00D22738">
      <w:pPr>
        <w:pStyle w:val="a5"/>
        <w:numPr>
          <w:ilvl w:val="0"/>
          <w:numId w:val="2"/>
        </w:numPr>
        <w:tabs>
          <w:tab w:val="left" w:pos="698"/>
        </w:tabs>
        <w:spacing w:before="115" w:line="249" w:lineRule="auto"/>
        <w:rPr>
          <w:sz w:val="18"/>
          <w:lang w:eastAsia="ja-JP"/>
        </w:rPr>
      </w:pPr>
      <w:r>
        <w:rPr>
          <w:w w:val="85"/>
          <w:sz w:val="18"/>
          <w:lang w:eastAsia="ja-JP"/>
        </w:rPr>
        <w:t>調査を担当した医師の連絡先と基本的なプロフィールの登録。患者が初めて治療を受けた医療機関の場所を特定し、その連絡先と社会文化的なプロフィールを記録する。</w:t>
      </w:r>
    </w:p>
    <w:p w14:paraId="16187BA6" w14:textId="77777777" w:rsidR="0092721B" w:rsidRDefault="00D22738">
      <w:pPr>
        <w:pStyle w:val="a5"/>
        <w:numPr>
          <w:ilvl w:val="0"/>
          <w:numId w:val="2"/>
        </w:numPr>
        <w:tabs>
          <w:tab w:val="left" w:pos="698"/>
        </w:tabs>
        <w:spacing w:before="117" w:line="249" w:lineRule="auto"/>
        <w:rPr>
          <w:sz w:val="18"/>
          <w:lang w:eastAsia="ja-JP"/>
        </w:rPr>
      </w:pPr>
      <w:r>
        <w:rPr>
          <w:w w:val="85"/>
          <w:sz w:val="18"/>
          <w:lang w:eastAsia="ja-JP"/>
        </w:rPr>
        <w:t>各患者が署名した治験薬</w:t>
      </w:r>
      <w:r>
        <w:rPr>
          <w:w w:val="80"/>
          <w:sz w:val="18"/>
          <w:lang w:eastAsia="ja-JP"/>
        </w:rPr>
        <w:t>使用に関するインフォームド・コンセントの手紙のファイル。</w:t>
      </w:r>
    </w:p>
    <w:p w14:paraId="444C42B5" w14:textId="77777777" w:rsidR="0092721B" w:rsidRDefault="00D22738">
      <w:pPr>
        <w:pStyle w:val="a5"/>
        <w:numPr>
          <w:ilvl w:val="0"/>
          <w:numId w:val="2"/>
        </w:numPr>
        <w:tabs>
          <w:tab w:val="left" w:pos="698"/>
        </w:tabs>
        <w:spacing w:before="115" w:line="249" w:lineRule="auto"/>
        <w:rPr>
          <w:sz w:val="18"/>
          <w:lang w:eastAsia="ja-JP"/>
        </w:rPr>
      </w:pPr>
      <w:r>
        <w:rPr>
          <w:w w:val="80"/>
          <w:sz w:val="18"/>
          <w:lang w:eastAsia="ja-JP"/>
        </w:rPr>
        <w:t>患者の初期診断用臨床</w:t>
      </w:r>
      <w:r>
        <w:rPr>
          <w:w w:val="90"/>
          <w:sz w:val="18"/>
          <w:lang w:eastAsia="ja-JP"/>
        </w:rPr>
        <w:t>履歴</w:t>
      </w:r>
      <w:r>
        <w:rPr>
          <w:w w:val="80"/>
          <w:sz w:val="18"/>
          <w:lang w:eastAsia="ja-JP"/>
        </w:rPr>
        <w:t>の情報を登録する。</w:t>
      </w:r>
    </w:p>
    <w:p w14:paraId="3CA7E475" w14:textId="77777777" w:rsidR="0092721B" w:rsidRDefault="00D22738">
      <w:pPr>
        <w:pStyle w:val="a5"/>
        <w:numPr>
          <w:ilvl w:val="0"/>
          <w:numId w:val="2"/>
        </w:numPr>
        <w:tabs>
          <w:tab w:val="left" w:pos="698"/>
        </w:tabs>
        <w:spacing w:before="114" w:line="249" w:lineRule="auto"/>
        <w:rPr>
          <w:sz w:val="18"/>
          <w:lang w:eastAsia="ja-JP"/>
        </w:rPr>
      </w:pPr>
      <w:r>
        <w:rPr>
          <w:w w:val="80"/>
          <w:sz w:val="18"/>
          <w:lang w:eastAsia="ja-JP"/>
        </w:rPr>
        <w:t>症状</w:t>
      </w:r>
      <w:r>
        <w:rPr>
          <w:w w:val="85"/>
          <w:sz w:val="18"/>
          <w:lang w:eastAsia="ja-JP"/>
        </w:rPr>
        <w:t>に関する患者の経過観察の記録</w:t>
      </w:r>
      <w:r>
        <w:rPr>
          <w:w w:val="80"/>
          <w:sz w:val="18"/>
          <w:lang w:eastAsia="ja-JP"/>
        </w:rPr>
        <w:t>、痛みの尺度（VAS）、</w:t>
      </w:r>
      <w:r>
        <w:rPr>
          <w:w w:val="85"/>
          <w:sz w:val="18"/>
          <w:lang w:eastAsia="ja-JP"/>
        </w:rPr>
        <w:t>0日目、7日目、14日目、21日目に行われた検査報告</w:t>
      </w:r>
      <w:r>
        <w:rPr>
          <w:w w:val="80"/>
          <w:sz w:val="18"/>
          <w:lang w:eastAsia="ja-JP"/>
        </w:rPr>
        <w:t>のリッカート尺度による評価。</w:t>
      </w:r>
    </w:p>
    <w:p w14:paraId="0FF43A05" w14:textId="77777777" w:rsidR="0092721B" w:rsidRDefault="00D22738">
      <w:pPr>
        <w:pStyle w:val="a5"/>
        <w:numPr>
          <w:ilvl w:val="0"/>
          <w:numId w:val="2"/>
        </w:numPr>
        <w:tabs>
          <w:tab w:val="left" w:pos="698"/>
        </w:tabs>
        <w:spacing w:before="116" w:line="249" w:lineRule="auto"/>
        <w:rPr>
          <w:sz w:val="18"/>
          <w:lang w:eastAsia="ja-JP"/>
        </w:rPr>
      </w:pPr>
      <w:r>
        <w:rPr>
          <w:w w:val="85"/>
          <w:sz w:val="18"/>
          <w:lang w:eastAsia="ja-JP"/>
        </w:rPr>
        <w:t>セキュリティ条件に関連して、登録され</w:t>
      </w:r>
      <w:r>
        <w:rPr>
          <w:w w:val="80"/>
          <w:sz w:val="18"/>
          <w:lang w:eastAsia="ja-JP"/>
        </w:rPr>
        <w:t>た情報には、調査を担当する医師による</w:t>
      </w:r>
      <w:r>
        <w:rPr>
          <w:w w:val="85"/>
          <w:sz w:val="18"/>
          <w:lang w:eastAsia="ja-JP"/>
        </w:rPr>
        <w:t>変更や調整のためのオプションがなく</w:t>
      </w:r>
      <w:r>
        <w:rPr>
          <w:w w:val="80"/>
          <w:sz w:val="18"/>
          <w:lang w:eastAsia="ja-JP"/>
        </w:rPr>
        <w:t>、情報の真正性、完全性、機密性が保証されています。各</w:t>
      </w:r>
      <w:r>
        <w:rPr>
          <w:spacing w:val="-1"/>
          <w:w w:val="85"/>
          <w:sz w:val="18"/>
          <w:lang w:eastAsia="ja-JP"/>
        </w:rPr>
        <w:t>調査医師は</w:t>
      </w:r>
      <w:r>
        <w:rPr>
          <w:w w:val="80"/>
          <w:sz w:val="18"/>
          <w:lang w:eastAsia="ja-JP"/>
        </w:rPr>
        <w:t>、それぞれの患者の情報登録に</w:t>
      </w:r>
      <w:r>
        <w:rPr>
          <w:w w:val="85"/>
          <w:sz w:val="18"/>
          <w:lang w:eastAsia="ja-JP"/>
        </w:rPr>
        <w:t>単独で</w:t>
      </w:r>
      <w:r>
        <w:rPr>
          <w:w w:val="80"/>
          <w:sz w:val="18"/>
          <w:lang w:eastAsia="ja-JP"/>
        </w:rPr>
        <w:t>責任</w:t>
      </w:r>
      <w:r>
        <w:rPr>
          <w:w w:val="85"/>
          <w:sz w:val="18"/>
          <w:lang w:eastAsia="ja-JP"/>
        </w:rPr>
        <w:t>を負うような形で、電子メールとパスワードの認証を通じてアプリケーション</w:t>
      </w:r>
      <w:r>
        <w:rPr>
          <w:spacing w:val="-1"/>
          <w:w w:val="85"/>
          <w:sz w:val="18"/>
          <w:lang w:eastAsia="ja-JP"/>
        </w:rPr>
        <w:t>にアクセスします。</w:t>
      </w:r>
    </w:p>
    <w:p w14:paraId="2762794E" w14:textId="77777777" w:rsidR="0092721B" w:rsidRDefault="00D22738">
      <w:pPr>
        <w:pStyle w:val="a5"/>
        <w:numPr>
          <w:ilvl w:val="0"/>
          <w:numId w:val="2"/>
        </w:numPr>
        <w:tabs>
          <w:tab w:val="left" w:pos="697"/>
          <w:tab w:val="left" w:pos="698"/>
        </w:tabs>
        <w:spacing w:before="119"/>
        <w:ind w:right="0" w:hanging="285"/>
        <w:jc w:val="left"/>
        <w:rPr>
          <w:sz w:val="18"/>
          <w:lang w:eastAsia="ja-JP"/>
        </w:rPr>
      </w:pPr>
      <w:r>
        <w:rPr>
          <w:w w:val="80"/>
          <w:sz w:val="18"/>
          <w:lang w:eastAsia="ja-JP"/>
        </w:rPr>
        <w:t>統計分析のための情報集約レポートの作成</w:t>
      </w:r>
    </w:p>
    <w:p w14:paraId="07D4749D" w14:textId="77777777" w:rsidR="0092721B" w:rsidRDefault="0092721B">
      <w:pPr>
        <w:rPr>
          <w:sz w:val="18"/>
          <w:lang w:eastAsia="ja-JP"/>
        </w:rPr>
        <w:sectPr w:rsidR="0092721B">
          <w:type w:val="continuous"/>
          <w:pgSz w:w="11910" w:h="16840"/>
          <w:pgMar w:top="760" w:right="440" w:bottom="280" w:left="720" w:header="814" w:footer="686" w:gutter="0"/>
          <w:cols w:num="2" w:space="720" w:equalWidth="0">
            <w:col w:w="5246" w:space="168"/>
            <w:col w:w="5336"/>
          </w:cols>
        </w:sectPr>
      </w:pPr>
    </w:p>
    <w:p w14:paraId="7C8A6540" w14:textId="77777777" w:rsidR="0092721B" w:rsidRDefault="0092721B">
      <w:pPr>
        <w:pStyle w:val="a3"/>
        <w:spacing w:before="7"/>
        <w:ind w:left="0" w:firstLine="0"/>
        <w:jc w:val="left"/>
        <w:rPr>
          <w:sz w:val="14"/>
          <w:lang w:eastAsia="ja-JP"/>
        </w:rPr>
      </w:pPr>
    </w:p>
    <w:p w14:paraId="645B4D9F" w14:textId="77777777" w:rsidR="0092721B" w:rsidRDefault="0092721B">
      <w:pPr>
        <w:rPr>
          <w:sz w:val="14"/>
          <w:lang w:eastAsia="ja-JP"/>
        </w:rPr>
        <w:sectPr w:rsidR="0092721B">
          <w:pgSz w:w="11910" w:h="16840"/>
          <w:pgMar w:top="1080" w:right="440" w:bottom="880" w:left="720" w:header="814" w:footer="686" w:gutter="0"/>
          <w:cols w:space="720"/>
        </w:sectPr>
      </w:pPr>
    </w:p>
    <w:p w14:paraId="1DBDB2E4" w14:textId="77777777" w:rsidR="0092721B" w:rsidRDefault="00D22738">
      <w:pPr>
        <w:pStyle w:val="a3"/>
        <w:spacing w:before="104" w:line="249" w:lineRule="auto"/>
        <w:ind w:left="697" w:right="39" w:firstLine="0"/>
        <w:rPr>
          <w:lang w:eastAsia="ja-JP"/>
        </w:rPr>
      </w:pPr>
      <w:r>
        <w:rPr>
          <w:w w:val="80"/>
          <w:lang w:eastAsia="ja-JP"/>
        </w:rPr>
        <w:t>研究</w:t>
      </w:r>
      <w:r>
        <w:rPr>
          <w:w w:val="85"/>
          <w:lang w:eastAsia="ja-JP"/>
        </w:rPr>
        <w:t>責任者のみがアクセスできる機能で、調査</w:t>
      </w:r>
      <w:r>
        <w:rPr>
          <w:w w:val="90"/>
          <w:lang w:eastAsia="ja-JP"/>
        </w:rPr>
        <w:t>医師が</w:t>
      </w:r>
      <w:r>
        <w:rPr>
          <w:w w:val="80"/>
          <w:lang w:eastAsia="ja-JP"/>
        </w:rPr>
        <w:t>作成した記録のデータベースを修正するオプション</w:t>
      </w:r>
      <w:r>
        <w:rPr>
          <w:w w:val="85"/>
          <w:lang w:eastAsia="ja-JP"/>
        </w:rPr>
        <w:t>はありません。</w:t>
      </w:r>
    </w:p>
    <w:p w14:paraId="11849E69" w14:textId="77777777" w:rsidR="0092721B" w:rsidRDefault="00D22738">
      <w:pPr>
        <w:pStyle w:val="a3"/>
        <w:spacing w:before="115" w:line="249" w:lineRule="auto"/>
        <w:ind w:right="38"/>
        <w:rPr>
          <w:lang w:eastAsia="ja-JP"/>
        </w:rPr>
      </w:pPr>
      <w:r>
        <w:rPr>
          <w:w w:val="80"/>
          <w:lang w:eastAsia="ja-JP"/>
        </w:rPr>
        <w:t>つまり、実験群と対照群の研究治療開始時</w:t>
      </w:r>
      <w:r>
        <w:rPr>
          <w:w w:val="90"/>
          <w:lang w:eastAsia="ja-JP"/>
        </w:rPr>
        <w:t>、7日後、14日後、21日後に、</w:t>
      </w:r>
      <w:r>
        <w:rPr>
          <w:w w:val="80"/>
          <w:lang w:eastAsia="ja-JP"/>
        </w:rPr>
        <w:t>記号論的、臨床的、実験的検査の実施結果を収集し、記録することが可能な機器である</w:t>
      </w:r>
      <w:r>
        <w:rPr>
          <w:w w:val="90"/>
          <w:lang w:eastAsia="ja-JP"/>
        </w:rPr>
        <w:t>。</w:t>
      </w:r>
    </w:p>
    <w:p w14:paraId="27BDE3DC" w14:textId="77777777" w:rsidR="0092721B" w:rsidRDefault="00D22738">
      <w:pPr>
        <w:pStyle w:val="a3"/>
        <w:spacing w:before="21" w:line="330" w:lineRule="exact"/>
        <w:ind w:left="413" w:right="38" w:firstLine="0"/>
        <w:rPr>
          <w:lang w:eastAsia="ja-JP"/>
        </w:rPr>
      </w:pPr>
      <w:r>
        <w:rPr>
          <w:w w:val="80"/>
          <w:lang w:eastAsia="ja-JP"/>
        </w:rPr>
        <w:t>人口統計学的データに加えて、以下の項目が測定される。記号学的：目の充血、発熱、咳、痰、無力感／アディナミア。</w:t>
      </w:r>
    </w:p>
    <w:p w14:paraId="3ADB2DDD" w14:textId="77777777" w:rsidR="0092721B" w:rsidRDefault="00D22738">
      <w:pPr>
        <w:pStyle w:val="a3"/>
        <w:spacing w:line="188" w:lineRule="exact"/>
        <w:ind w:firstLine="0"/>
        <w:rPr>
          <w:lang w:eastAsia="ja-JP"/>
        </w:rPr>
      </w:pPr>
      <w:r>
        <w:rPr>
          <w:w w:val="80"/>
          <w:lang w:eastAsia="ja-JP"/>
        </w:rPr>
        <w:t>寒気、嘔吐、呼吸困難、鼻づまり。</w:t>
      </w:r>
    </w:p>
    <w:p w14:paraId="057B40F2" w14:textId="77777777" w:rsidR="0092721B" w:rsidRDefault="00D22738">
      <w:pPr>
        <w:pStyle w:val="a3"/>
        <w:spacing w:before="123" w:line="249" w:lineRule="auto"/>
        <w:ind w:right="38"/>
        <w:rPr>
          <w:lang w:eastAsia="ja-JP"/>
        </w:rPr>
      </w:pPr>
      <w:r>
        <w:rPr>
          <w:w w:val="80"/>
          <w:lang w:eastAsia="ja-JP"/>
        </w:rPr>
        <w:t>VAS基準（</w:t>
      </w:r>
      <w:r>
        <w:rPr>
          <w:color w:val="202124"/>
          <w:w w:val="80"/>
          <w:lang w:eastAsia="ja-JP"/>
        </w:rPr>
        <w:t>VAS（Visual Analog Scale）とは、痛みを直線で表したもので、片方の端が無痛、もう片方の端が想像しうる最悪の痛みを表す。患者は痛みの量に合わせて線上の点に印をつけ</w:t>
      </w:r>
      <w:r>
        <w:rPr>
          <w:color w:val="202124"/>
          <w:w w:val="85"/>
          <w:lang w:eastAsia="ja-JP"/>
        </w:rPr>
        <w:t>、変数を調べます。喉の</w:t>
      </w:r>
      <w:r>
        <w:rPr>
          <w:w w:val="85"/>
          <w:lang w:eastAsia="ja-JP"/>
        </w:rPr>
        <w:t>痛み、頭の痛み、胸の痛み、一般的な筋痛のタイプ、腰痛による影響などである。</w:t>
      </w:r>
    </w:p>
    <w:p w14:paraId="6477263B" w14:textId="77777777" w:rsidR="0092721B" w:rsidRDefault="00D22738">
      <w:pPr>
        <w:pStyle w:val="a3"/>
        <w:spacing w:before="117" w:line="247" w:lineRule="auto"/>
        <w:ind w:right="38"/>
        <w:rPr>
          <w:lang w:eastAsia="ja-JP"/>
        </w:rPr>
      </w:pPr>
      <w:r>
        <w:rPr>
          <w:w w:val="80"/>
          <w:lang w:eastAsia="ja-JP"/>
        </w:rPr>
        <w:t>リッカート基準</w:t>
      </w:r>
      <w:r>
        <w:rPr>
          <w:color w:val="0D0D0D"/>
          <w:w w:val="80"/>
          <w:lang w:eastAsia="ja-JP"/>
        </w:rPr>
        <w:t>（リッカート尺度は5段階を用いた</w:t>
      </w:r>
      <w:r>
        <w:rPr>
          <w:i/>
          <w:color w:val="0D0D0D"/>
          <w:w w:val="80"/>
          <w:lang w:eastAsia="ja-JP"/>
        </w:rPr>
        <w:t>順序</w:t>
      </w:r>
      <w:r>
        <w:rPr>
          <w:color w:val="0D0D0D"/>
          <w:w w:val="80"/>
          <w:lang w:eastAsia="ja-JP"/>
        </w:rPr>
        <w:t>尺度</w:t>
      </w:r>
      <w:r>
        <w:rPr>
          <w:color w:val="5D5D5D"/>
          <w:w w:val="80"/>
          <w:lang w:eastAsia="ja-JP"/>
        </w:rPr>
        <w:t>）で</w:t>
      </w:r>
      <w:r>
        <w:rPr>
          <w:w w:val="80"/>
          <w:lang w:eastAsia="ja-JP"/>
        </w:rPr>
        <w:t>パラ臨床検査をグループ化した</w:t>
      </w:r>
      <w:r>
        <w:rPr>
          <w:rFonts w:ascii="Minion Pro"/>
          <w:color w:val="5D5D5D"/>
          <w:w w:val="80"/>
          <w:lang w:eastAsia="ja-JP"/>
        </w:rPr>
        <w:t>。</w:t>
      </w:r>
      <w:r>
        <w:rPr>
          <w:w w:val="80"/>
          <w:lang w:eastAsia="ja-JP"/>
        </w:rPr>
        <w:t>調査された変数は、リンパ球、白血球、</w:t>
      </w:r>
      <w:r>
        <w:rPr>
          <w:w w:val="85"/>
          <w:lang w:eastAsia="ja-JP"/>
        </w:rPr>
        <w:t>血小板、C反応性タンパク質、乳酸脱水素酵素、AST、-Dダイマー、</w:t>
      </w:r>
      <w:r>
        <w:rPr>
          <w:w w:val="90"/>
          <w:lang w:eastAsia="ja-JP"/>
        </w:rPr>
        <w:t>オキシメトリーの乳酸塩です。</w:t>
      </w:r>
    </w:p>
    <w:p w14:paraId="4A02869E" w14:textId="77777777" w:rsidR="0092721B" w:rsidRDefault="00D22738">
      <w:pPr>
        <w:pStyle w:val="a3"/>
        <w:spacing w:before="113" w:line="249" w:lineRule="auto"/>
        <w:ind w:right="38"/>
        <w:rPr>
          <w:lang w:eastAsia="ja-JP"/>
        </w:rPr>
      </w:pPr>
      <w:r>
        <w:rPr>
          <w:w w:val="80"/>
          <w:lang w:eastAsia="ja-JP"/>
        </w:rPr>
        <w:t>これらの機器は、研究対象となる治療の開始時</w:t>
      </w:r>
      <w:r>
        <w:rPr>
          <w:w w:val="85"/>
          <w:lang w:eastAsia="ja-JP"/>
        </w:rPr>
        <w:t>（またはベースライン）、7日後、14日後、21日後に、</w:t>
      </w:r>
      <w:r>
        <w:rPr>
          <w:w w:val="80"/>
          <w:lang w:eastAsia="ja-JP"/>
        </w:rPr>
        <w:t>記号学的検査、痛みの症状の評価（VAS）、検査（LIKERT）の結果を収集し、記録することを可能にした</w:t>
      </w:r>
      <w:r>
        <w:rPr>
          <w:w w:val="85"/>
          <w:lang w:eastAsia="ja-JP"/>
        </w:rPr>
        <w:t>。</w:t>
      </w:r>
    </w:p>
    <w:p w14:paraId="5DF3256D" w14:textId="77777777" w:rsidR="0092721B" w:rsidRDefault="00D22738">
      <w:pPr>
        <w:pStyle w:val="3"/>
        <w:rPr>
          <w:lang w:eastAsia="ja-JP"/>
        </w:rPr>
      </w:pPr>
      <w:r>
        <w:rPr>
          <w:w w:val="80"/>
          <w:lang w:eastAsia="ja-JP"/>
        </w:rPr>
        <w:t>データの分析と解釈</w:t>
      </w:r>
    </w:p>
    <w:p w14:paraId="53EFB21E" w14:textId="77777777" w:rsidR="0092721B" w:rsidRDefault="00D22738">
      <w:pPr>
        <w:pStyle w:val="a3"/>
        <w:spacing w:before="114" w:line="249" w:lineRule="auto"/>
        <w:ind w:right="38"/>
        <w:rPr>
          <w:lang w:eastAsia="ja-JP"/>
        </w:rPr>
      </w:pPr>
      <w:r>
        <w:rPr>
          <w:color w:val="0D0D0D"/>
          <w:w w:val="85"/>
          <w:lang w:eastAsia="ja-JP"/>
        </w:rPr>
        <w:t>実験群と対照群のデータを分析し、一般的な症状については</w:t>
      </w:r>
      <w:r>
        <w:rPr>
          <w:color w:val="0D0D0D"/>
          <w:w w:val="80"/>
          <w:lang w:eastAsia="ja-JP"/>
        </w:rPr>
        <w:t>比率</w:t>
      </w:r>
      <w:r>
        <w:rPr>
          <w:color w:val="0D0D0D"/>
          <w:w w:val="85"/>
          <w:lang w:eastAsia="ja-JP"/>
        </w:rPr>
        <w:t>の比較</w:t>
      </w:r>
      <w:r>
        <w:rPr>
          <w:color w:val="0D0D0D"/>
          <w:w w:val="80"/>
          <w:lang w:eastAsia="ja-JP"/>
        </w:rPr>
        <w:t>検定とその信頼区間、VASとLikert基準についてはWilcoxon-Mann-Whitney検定</w:t>
      </w:r>
      <w:r>
        <w:rPr>
          <w:rFonts w:ascii="Courier New" w:hAnsi="Courier New"/>
          <w:w w:val="80"/>
        </w:rPr>
        <w:t>α</w:t>
      </w:r>
      <w:r>
        <w:rPr>
          <w:color w:val="0D0D0D"/>
          <w:w w:val="80"/>
          <w:lang w:eastAsia="ja-JP"/>
        </w:rPr>
        <w:t>を用いたペア検定を</w:t>
      </w:r>
      <w:r>
        <w:rPr>
          <w:color w:val="0D0D0D"/>
          <w:w w:val="85"/>
          <w:lang w:eastAsia="ja-JP"/>
        </w:rPr>
        <w:t>行い</w:t>
      </w:r>
      <w:r>
        <w:rPr>
          <w:w w:val="80"/>
          <w:lang w:eastAsia="ja-JP"/>
        </w:rPr>
        <w:t>ました（95％）</w:t>
      </w:r>
      <w:r>
        <w:rPr>
          <w:color w:val="0D0D0D"/>
          <w:w w:val="85"/>
          <w:lang w:eastAsia="ja-JP"/>
        </w:rPr>
        <w:t>。)</w:t>
      </w:r>
    </w:p>
    <w:p w14:paraId="2D911BD7" w14:textId="77777777" w:rsidR="0092721B" w:rsidRDefault="00D22738">
      <w:pPr>
        <w:pStyle w:val="3"/>
        <w:spacing w:before="88"/>
        <w:jc w:val="left"/>
        <w:rPr>
          <w:lang w:eastAsia="ja-JP"/>
        </w:rPr>
      </w:pPr>
      <w:r>
        <w:rPr>
          <w:w w:val="90"/>
          <w:lang w:eastAsia="ja-JP"/>
        </w:rPr>
        <w:t>人口</w:t>
      </w:r>
    </w:p>
    <w:p w14:paraId="32E5D302" w14:textId="77777777" w:rsidR="0092721B" w:rsidRDefault="00D22738">
      <w:pPr>
        <w:pStyle w:val="a3"/>
        <w:spacing w:before="114" w:line="249" w:lineRule="auto"/>
        <w:ind w:right="38"/>
        <w:rPr>
          <w:lang w:eastAsia="ja-JP"/>
        </w:rPr>
      </w:pPr>
      <w:r>
        <w:rPr>
          <w:w w:val="80"/>
          <w:lang w:eastAsia="ja-JP"/>
        </w:rPr>
        <w:t>この多施設共同研究の対象となった実験集団は、ボリビアの様々な医療機関（14名）、そのほとんどがボリビアのラパスにある南部診療所、ペルー（2名）、エクアドル（4名）で、合計20名のCOVID-19に積極的に感染している患者さんのグループです。対照群は、エクアドルの患者さん8名、ボリビアの患者さん7名、メキシコの患者さん3名、日本の患者さん2名で構成されました。</w:t>
      </w:r>
    </w:p>
    <w:p w14:paraId="35DCCDA4" w14:textId="77777777" w:rsidR="0092721B" w:rsidRDefault="00D22738">
      <w:pPr>
        <w:pStyle w:val="a3"/>
        <w:spacing w:before="4"/>
        <w:ind w:firstLine="0"/>
        <w:rPr>
          <w:lang w:eastAsia="ja-JP"/>
        </w:rPr>
      </w:pPr>
      <w:r>
        <w:rPr>
          <w:w w:val="80"/>
          <w:lang w:eastAsia="ja-JP"/>
        </w:rPr>
        <w:t>(ペルーから2名、合計20名の患者さんが参加されました。</w:t>
      </w:r>
    </w:p>
    <w:p w14:paraId="72C9E537" w14:textId="77777777" w:rsidR="0092721B" w:rsidRDefault="00D22738">
      <w:pPr>
        <w:pStyle w:val="3"/>
        <w:spacing w:before="109"/>
        <w:jc w:val="left"/>
        <w:rPr>
          <w:lang w:eastAsia="ja-JP"/>
        </w:rPr>
      </w:pPr>
      <w:r>
        <w:rPr>
          <w:w w:val="90"/>
          <w:lang w:eastAsia="ja-JP"/>
        </w:rPr>
        <w:t>患者さん</w:t>
      </w:r>
    </w:p>
    <w:p w14:paraId="466B6A9D" w14:textId="77777777" w:rsidR="0092721B" w:rsidRDefault="00D22738">
      <w:pPr>
        <w:pStyle w:val="a3"/>
        <w:spacing w:before="114" w:line="249" w:lineRule="auto"/>
        <w:ind w:right="38"/>
        <w:rPr>
          <w:lang w:eastAsia="ja-JP"/>
        </w:rPr>
      </w:pPr>
      <w:r>
        <w:rPr>
          <w:w w:val="85"/>
          <w:lang w:eastAsia="ja-JP"/>
        </w:rPr>
        <w:t>治療群または実験群の選択は、RT-PCRが陽性で、3日から7日の間隔で症状が出ているCOVID19の活動性感染症患者で、解決段階ではなく、</w:t>
      </w:r>
      <w:r>
        <w:rPr>
          <w:w w:val="80"/>
          <w:lang w:eastAsia="ja-JP"/>
        </w:rPr>
        <w:t>自発的な研究対象者として提案された患者</w:t>
      </w:r>
      <w:r>
        <w:rPr>
          <w:w w:val="85"/>
          <w:lang w:eastAsia="ja-JP"/>
        </w:rPr>
        <w:t>に基づいて行われた</w:t>
      </w:r>
      <w:r>
        <w:rPr>
          <w:color w:val="0D0D0D"/>
          <w:w w:val="80"/>
          <w:lang w:eastAsia="ja-JP"/>
        </w:rPr>
        <w:t>。対照群の</w:t>
      </w:r>
      <w:r>
        <w:rPr>
          <w:color w:val="0D0D0D"/>
          <w:w w:val="85"/>
          <w:lang w:eastAsia="ja-JP"/>
        </w:rPr>
        <w:t>患者は、二酸化塩素治療の被験者にならないことを選択した。同様に、同時性を適用した。つまり、</w:t>
      </w:r>
      <w:r>
        <w:rPr>
          <w:color w:val="0D0D0D"/>
          <w:w w:val="80"/>
          <w:lang w:eastAsia="ja-JP"/>
        </w:rPr>
        <w:t>症例が発生したのと同じ時期</w:t>
      </w:r>
      <w:r>
        <w:rPr>
          <w:color w:val="0D0D0D"/>
          <w:w w:val="85"/>
          <w:lang w:eastAsia="ja-JP"/>
        </w:rPr>
        <w:t>に患者を得たことになる。</w:t>
      </w:r>
      <w:r>
        <w:rPr>
          <w:color w:val="0D0D0D"/>
          <w:w w:val="80"/>
          <w:lang w:eastAsia="ja-JP"/>
        </w:rPr>
        <w:t>ウイルス負荷は、</w:t>
      </w:r>
      <w:r>
        <w:rPr>
          <w:color w:val="0D0D0D"/>
          <w:w w:val="90"/>
          <w:lang w:eastAsia="ja-JP"/>
        </w:rPr>
        <w:t>メキシコ、ボリビア、ペルー、エクアドル</w:t>
      </w:r>
      <w:r>
        <w:rPr>
          <w:color w:val="0D0D0D"/>
          <w:w w:val="80"/>
          <w:lang w:eastAsia="ja-JP"/>
        </w:rPr>
        <w:t>の基準検査機関のコスト、技術、物流上の問題から、決定されませんでした。</w:t>
      </w:r>
    </w:p>
    <w:p w14:paraId="21E5D7C9" w14:textId="77777777" w:rsidR="0092721B" w:rsidRDefault="00D22738">
      <w:pPr>
        <w:pStyle w:val="3"/>
        <w:spacing w:before="106"/>
        <w:rPr>
          <w:lang w:eastAsia="ja-JP"/>
        </w:rPr>
      </w:pPr>
      <w:r>
        <w:rPr>
          <w:w w:val="80"/>
          <w:lang w:eastAsia="ja-JP"/>
        </w:rPr>
        <w:t>患者数</w:t>
      </w:r>
    </w:p>
    <w:p w14:paraId="09941031" w14:textId="77777777" w:rsidR="0092721B" w:rsidRDefault="00D22738">
      <w:pPr>
        <w:pStyle w:val="a3"/>
        <w:spacing w:before="114" w:line="249" w:lineRule="auto"/>
        <w:ind w:right="38"/>
        <w:rPr>
          <w:lang w:eastAsia="ja-JP"/>
        </w:rPr>
      </w:pPr>
      <w:r>
        <w:rPr>
          <w:w w:val="80"/>
          <w:lang w:eastAsia="ja-JP"/>
        </w:rPr>
        <w:t>実験群には20名の患者（n＝20）、対照群には20名の患者（n＝20）が参加した。センターごとの1対1の関係は維持されず、確率</w:t>
      </w:r>
      <w:r>
        <w:rPr>
          <w:w w:val="90"/>
          <w:lang w:eastAsia="ja-JP"/>
        </w:rPr>
        <w:t>的サンプルデザイン</w:t>
      </w:r>
      <w:r>
        <w:rPr>
          <w:w w:val="80"/>
          <w:lang w:eastAsia="ja-JP"/>
        </w:rPr>
        <w:t>に従ってランダムに提示されました。</w:t>
      </w:r>
    </w:p>
    <w:p w14:paraId="103DD6EF" w14:textId="77777777" w:rsidR="0092721B" w:rsidRDefault="00D22738">
      <w:pPr>
        <w:pStyle w:val="3"/>
        <w:rPr>
          <w:lang w:eastAsia="ja-JP"/>
        </w:rPr>
      </w:pPr>
      <w:r>
        <w:rPr>
          <w:w w:val="80"/>
          <w:lang w:eastAsia="ja-JP"/>
        </w:rPr>
        <w:t>研究における受け入れ基準</w:t>
      </w:r>
    </w:p>
    <w:p w14:paraId="2F6B4BF8" w14:textId="77777777" w:rsidR="0092721B" w:rsidRDefault="00D22738">
      <w:pPr>
        <w:pStyle w:val="a3"/>
        <w:spacing w:before="114" w:line="249" w:lineRule="auto"/>
        <w:ind w:right="38"/>
        <w:rPr>
          <w:lang w:eastAsia="ja-JP"/>
        </w:rPr>
      </w:pPr>
      <w:r>
        <w:rPr>
          <w:w w:val="85"/>
          <w:lang w:eastAsia="ja-JP"/>
        </w:rPr>
        <w:t>以下の組み入れ基準を用いた。Covid 19 RT-PCR陽性、</w:t>
      </w:r>
      <w:r>
        <w:rPr>
          <w:w w:val="80"/>
          <w:lang w:eastAsia="ja-JP"/>
        </w:rPr>
        <w:t>Covid-19の特徴的な症状：発熱、咽頭痛、呼吸困難、</w:t>
      </w:r>
      <w:r>
        <w:rPr>
          <w:w w:val="90"/>
          <w:lang w:eastAsia="ja-JP"/>
        </w:rPr>
        <w:t>年齢18歳から80歳まで。</w:t>
      </w:r>
    </w:p>
    <w:p w14:paraId="424E24F6" w14:textId="77777777" w:rsidR="0092721B" w:rsidRDefault="00D22738">
      <w:pPr>
        <w:pStyle w:val="3"/>
        <w:spacing w:before="102"/>
        <w:rPr>
          <w:lang w:eastAsia="ja-JP"/>
        </w:rPr>
      </w:pPr>
      <w:r>
        <w:rPr>
          <w:w w:val="80"/>
          <w:lang w:eastAsia="ja-JP"/>
        </w:rPr>
        <w:t>除外基準</w:t>
      </w:r>
    </w:p>
    <w:p w14:paraId="4AECD03A" w14:textId="77777777" w:rsidR="0092721B" w:rsidRDefault="00D22738">
      <w:pPr>
        <w:pStyle w:val="a3"/>
        <w:spacing w:before="104" w:line="249" w:lineRule="auto"/>
        <w:ind w:right="125"/>
        <w:rPr>
          <w:lang w:eastAsia="ja-JP"/>
        </w:rPr>
      </w:pPr>
      <w:r>
        <w:rPr>
          <w:lang w:eastAsia="ja-JP"/>
        </w:rPr>
        <w:br w:type="column"/>
      </w:r>
      <w:r>
        <w:rPr>
          <w:w w:val="80"/>
          <w:lang w:eastAsia="ja-JP"/>
        </w:rPr>
        <w:t>Covid 19 RT-PCR陰性、IV/VI腎不全、うっ血性心不全、抗凝固剤（特にワルファリンナトリウム）を摂取している患者。</w:t>
      </w:r>
    </w:p>
    <w:p w14:paraId="79FD1942" w14:textId="77777777" w:rsidR="0092721B" w:rsidRDefault="00D22738">
      <w:pPr>
        <w:pStyle w:val="3"/>
        <w:spacing w:before="101"/>
        <w:rPr>
          <w:lang w:eastAsia="ja-JP"/>
        </w:rPr>
      </w:pPr>
      <w:r>
        <w:rPr>
          <w:w w:val="80"/>
          <w:lang w:eastAsia="ja-JP"/>
        </w:rPr>
        <w:t>患者一人当たりの治療期間</w:t>
      </w:r>
    </w:p>
    <w:p w14:paraId="7DBEF128" w14:textId="77777777" w:rsidR="0092721B" w:rsidRDefault="00D22738">
      <w:pPr>
        <w:pStyle w:val="a3"/>
        <w:spacing w:before="114" w:line="249" w:lineRule="auto"/>
        <w:ind w:right="110"/>
        <w:rPr>
          <w:lang w:eastAsia="ja-JP"/>
        </w:rPr>
      </w:pPr>
      <w:r>
        <w:rPr>
          <w:color w:val="0D0D0D"/>
          <w:w w:val="85"/>
          <w:lang w:eastAsia="ja-JP"/>
        </w:rPr>
        <w:t>実験群の患者一人当たりの観察期間は21日</w:t>
      </w:r>
      <w:r>
        <w:rPr>
          <w:color w:val="0D0D0D"/>
          <w:w w:val="80"/>
          <w:lang w:eastAsia="ja-JP"/>
        </w:rPr>
        <w:t>。対照群では14日間であった。レビューは、</w:t>
      </w:r>
      <w:r>
        <w:rPr>
          <w:color w:val="0D0D0D"/>
          <w:w w:val="85"/>
          <w:lang w:eastAsia="ja-JP"/>
        </w:rPr>
        <w:t>実験群では開始時、7日目、14日目、21日目に、</w:t>
      </w:r>
      <w:r>
        <w:rPr>
          <w:color w:val="0D0D0D"/>
          <w:w w:val="80"/>
          <w:lang w:eastAsia="ja-JP"/>
        </w:rPr>
        <w:t>対照群では開始時、7日目、14日目に</w:t>
      </w:r>
      <w:r>
        <w:rPr>
          <w:color w:val="0D0D0D"/>
          <w:w w:val="85"/>
          <w:lang w:eastAsia="ja-JP"/>
        </w:rPr>
        <w:t>行われた。</w:t>
      </w:r>
      <w:r>
        <w:rPr>
          <w:color w:val="0D0D0D"/>
          <w:w w:val="80"/>
          <w:lang w:eastAsia="ja-JP"/>
        </w:rPr>
        <w:t>プロトコール後の臨床フォローアップ（22日目以降）は、実験群では行われず、対照群でも行われなかった。</w:t>
      </w:r>
      <w:r>
        <w:rPr>
          <w:w w:val="80"/>
          <w:lang w:eastAsia="ja-JP"/>
        </w:rPr>
        <w:t>重要なことは、二酸化塩素</w:t>
      </w:r>
      <w:r>
        <w:rPr>
          <w:w w:val="85"/>
          <w:lang w:eastAsia="ja-JP"/>
        </w:rPr>
        <w:t>を投与した患者としなかった患者のほとんどについて、研究スタッフによる</w:t>
      </w:r>
      <w:r>
        <w:rPr>
          <w:w w:val="80"/>
          <w:lang w:eastAsia="ja-JP"/>
        </w:rPr>
        <w:t>臨床的フォローアップが行われ、投与群の症状が完全に解消されていることが観察されたことである。実証的には、COVID19の治療として二酸化塩素を摂取した患者は、</w:t>
      </w:r>
      <w:r>
        <w:rPr>
          <w:w w:val="90"/>
          <w:lang w:eastAsia="ja-JP"/>
        </w:rPr>
        <w:t>二酸化塩素を摂取</w:t>
      </w:r>
      <w:r>
        <w:rPr>
          <w:w w:val="80"/>
          <w:lang w:eastAsia="ja-JP"/>
        </w:rPr>
        <w:t>しなかった同疾患の患者に比べて、COVID19後の症状が大幅に軽減したと報告している。</w:t>
      </w:r>
    </w:p>
    <w:p w14:paraId="21369939" w14:textId="77777777" w:rsidR="0092721B" w:rsidRDefault="00D22738">
      <w:pPr>
        <w:pStyle w:val="3"/>
        <w:spacing w:before="109"/>
        <w:rPr>
          <w:lang w:eastAsia="ja-JP"/>
        </w:rPr>
      </w:pPr>
      <w:r>
        <w:rPr>
          <w:w w:val="80"/>
          <w:lang w:eastAsia="ja-JP"/>
        </w:rPr>
        <w:t>試験の総期間</w:t>
      </w:r>
    </w:p>
    <w:p w14:paraId="46A0E5C4" w14:textId="77777777" w:rsidR="0092721B" w:rsidRDefault="00D22738">
      <w:pPr>
        <w:pStyle w:val="a3"/>
        <w:spacing w:before="114"/>
        <w:ind w:left="413" w:firstLine="0"/>
        <w:rPr>
          <w:lang w:eastAsia="ja-JP"/>
        </w:rPr>
      </w:pPr>
      <w:r>
        <w:rPr>
          <w:w w:val="80"/>
          <w:lang w:eastAsia="ja-JP"/>
        </w:rPr>
        <w:t>2020年7月に開始し、2020年12月に終了しました。</w:t>
      </w:r>
    </w:p>
    <w:p w14:paraId="259B63AD" w14:textId="77777777" w:rsidR="0092721B" w:rsidRDefault="00D22738">
      <w:pPr>
        <w:pStyle w:val="3"/>
        <w:spacing w:before="108"/>
        <w:rPr>
          <w:lang w:eastAsia="ja-JP"/>
        </w:rPr>
      </w:pPr>
      <w:r>
        <w:rPr>
          <w:w w:val="80"/>
          <w:lang w:eastAsia="ja-JP"/>
        </w:rPr>
        <w:t>試験薬の割り当て</w:t>
      </w:r>
    </w:p>
    <w:p w14:paraId="554BA4A9" w14:textId="77777777" w:rsidR="0092721B" w:rsidRDefault="00D22738">
      <w:pPr>
        <w:pStyle w:val="a3"/>
        <w:spacing w:before="114" w:line="249" w:lineRule="auto"/>
        <w:ind w:right="124"/>
        <w:rPr>
          <w:lang w:eastAsia="ja-JP"/>
        </w:rPr>
      </w:pPr>
      <w:r>
        <w:rPr>
          <w:w w:val="80"/>
          <w:lang w:eastAsia="ja-JP"/>
        </w:rPr>
        <w:t>各患者は、研究に参加した順に、連続した</w:t>
      </w:r>
      <w:r>
        <w:rPr>
          <w:w w:val="85"/>
          <w:lang w:eastAsia="ja-JP"/>
        </w:rPr>
        <w:t>患者番号（奇数番号が選択された）と対応する研究用</w:t>
      </w:r>
      <w:r>
        <w:rPr>
          <w:w w:val="80"/>
          <w:lang w:eastAsia="ja-JP"/>
        </w:rPr>
        <w:t>医薬品を受け取った。この薬の割り当ては、研究の目的で作成されたバイアルのコンピュータ生成リストを用いて、研究開始前に行われた。患者は、超高純度二酸化塩素発生装置を用いた電気分解によって製造された3,000ppmの二酸化塩素ベースの製剤を、</w:t>
      </w:r>
      <w:r>
        <w:rPr>
          <w:w w:val="85"/>
          <w:lang w:eastAsia="ja-JP"/>
        </w:rPr>
        <w:t>調製方法、飲用方法、希釈液の保存方法</w:t>
      </w:r>
      <w:r>
        <w:rPr>
          <w:w w:val="80"/>
          <w:lang w:eastAsia="ja-JP"/>
        </w:rPr>
        <w:t>が正確に書かれたブランドメダラボ</w:t>
      </w:r>
      <w:hyperlink r:id="rId27">
        <w:r>
          <w:rPr>
            <w:color w:val="0D0D0D"/>
            <w:w w:val="80"/>
            <w:lang w:eastAsia="ja-JP"/>
          </w:rPr>
          <w:t>（www.cl02.com）とともに</w:t>
        </w:r>
      </w:hyperlink>
      <w:r>
        <w:rPr>
          <w:w w:val="80"/>
          <w:lang w:eastAsia="ja-JP"/>
        </w:rPr>
        <w:t>受け取った。</w:t>
      </w:r>
      <w:r>
        <w:rPr>
          <w:w w:val="85"/>
          <w:lang w:eastAsia="ja-JP"/>
        </w:rPr>
        <w:t>研究</w:t>
      </w:r>
      <w:r>
        <w:rPr>
          <w:w w:val="80"/>
          <w:lang w:eastAsia="ja-JP"/>
        </w:rPr>
        <w:t>チーム</w:t>
      </w:r>
      <w:r>
        <w:rPr>
          <w:w w:val="85"/>
          <w:lang w:eastAsia="ja-JP"/>
        </w:rPr>
        <w:t>の化学者は</w:t>
      </w:r>
      <w:r>
        <w:rPr>
          <w:w w:val="80"/>
          <w:lang w:eastAsia="ja-JP"/>
        </w:rPr>
        <w:t>、3000ppmの二酸化塩素の基本製剤に使用する水と、希釈して飲むのに使用する水の標準化を管理した。管理変数は、調製</w:t>
      </w:r>
      <w:r>
        <w:rPr>
          <w:w w:val="85"/>
          <w:lang w:eastAsia="ja-JP"/>
        </w:rPr>
        <w:t>プロセス</w:t>
      </w:r>
      <w:r>
        <w:rPr>
          <w:w w:val="80"/>
          <w:lang w:eastAsia="ja-JP"/>
        </w:rPr>
        <w:t>の条件と特性</w:t>
      </w:r>
      <w:r>
        <w:rPr>
          <w:w w:val="85"/>
          <w:lang w:eastAsia="ja-JP"/>
        </w:rPr>
        <w:t>、容器の標準化された特性、標準化されたMerck 28%亜塩素酸ナトリウムの使用、</w:t>
      </w:r>
      <w:r>
        <w:rPr>
          <w:w w:val="80"/>
          <w:lang w:eastAsia="ja-JP"/>
        </w:rPr>
        <w:t>pH7に緩衝され</w:t>
      </w:r>
      <w:r>
        <w:rPr>
          <w:w w:val="85"/>
          <w:lang w:eastAsia="ja-JP"/>
        </w:rPr>
        <w:t>た標準化された滅菌二重蒸留水</w:t>
      </w:r>
      <w:r>
        <w:rPr>
          <w:w w:val="80"/>
          <w:lang w:eastAsia="ja-JP"/>
        </w:rPr>
        <w:t>、3000ppmの二酸化塩素濃度であった。</w:t>
      </w:r>
    </w:p>
    <w:p w14:paraId="51F8C5CE" w14:textId="77777777" w:rsidR="0092721B" w:rsidRDefault="00D22738">
      <w:pPr>
        <w:pStyle w:val="a3"/>
        <w:spacing w:before="124" w:line="249" w:lineRule="auto"/>
        <w:ind w:right="124"/>
        <w:rPr>
          <w:lang w:eastAsia="ja-JP"/>
        </w:rPr>
      </w:pPr>
      <w:r>
        <w:rPr>
          <w:w w:val="85"/>
          <w:lang w:eastAsia="ja-JP"/>
        </w:rPr>
        <w:t>対照群には、抗炎症治療（イブプロフェン</w:t>
      </w:r>
      <w:r>
        <w:rPr>
          <w:w w:val="80"/>
          <w:lang w:eastAsia="ja-JP"/>
        </w:rPr>
        <w:t>200～400mgを8時間ごとに投与）、抗生物質（アジスロマイシン500</w:t>
      </w:r>
      <w:r>
        <w:rPr>
          <w:w w:val="85"/>
          <w:lang w:eastAsia="ja-JP"/>
        </w:rPr>
        <w:t>mgを1日5日間投与）、抗ヒスタミン薬（ヒドロキシジン×5mgを12時間ごとに投与）、副腎皮質ホルモン薬（メチルプレドニゾロン40mgを12時間ごとに3日間投与した</w:t>
      </w:r>
      <w:r>
        <w:rPr>
          <w:w w:val="80"/>
          <w:lang w:eastAsia="ja-JP"/>
        </w:rPr>
        <w:t>後、20mgを12時間ごとに3日間投与）、および支持療法</w:t>
      </w:r>
      <w:r>
        <w:rPr>
          <w:w w:val="85"/>
          <w:lang w:eastAsia="ja-JP"/>
        </w:rPr>
        <w:t>が行われました。実験群</w:t>
      </w:r>
      <w:r>
        <w:rPr>
          <w:w w:val="80"/>
          <w:lang w:eastAsia="ja-JP"/>
        </w:rPr>
        <w:t>は</w:t>
      </w:r>
      <w:r>
        <w:rPr>
          <w:w w:val="85"/>
          <w:lang w:eastAsia="ja-JP"/>
        </w:rPr>
        <w:t>この治療を受けなかった。</w:t>
      </w:r>
    </w:p>
    <w:p w14:paraId="4FC94494" w14:textId="77777777" w:rsidR="0092721B" w:rsidRDefault="00D22738">
      <w:pPr>
        <w:pStyle w:val="3"/>
        <w:spacing w:before="104"/>
        <w:rPr>
          <w:lang w:eastAsia="ja-JP"/>
        </w:rPr>
      </w:pPr>
      <w:r>
        <w:rPr>
          <w:w w:val="80"/>
          <w:lang w:eastAsia="ja-JP"/>
        </w:rPr>
        <w:t>投与量と投与経路</w:t>
      </w:r>
    </w:p>
    <w:p w14:paraId="7758CC50" w14:textId="77777777" w:rsidR="0092721B" w:rsidRDefault="00D22738">
      <w:pPr>
        <w:pStyle w:val="a3"/>
        <w:spacing w:before="114" w:line="249" w:lineRule="auto"/>
        <w:ind w:right="124"/>
        <w:rPr>
          <w:lang w:eastAsia="ja-JP"/>
        </w:rPr>
      </w:pPr>
      <w:r>
        <w:rPr>
          <w:w w:val="85"/>
          <w:lang w:eastAsia="ja-JP"/>
        </w:rPr>
        <w:t>使用される薬剤は、二酸化塩素3000ppmで、予定されたラベルが貼られた120ccのボトルに入っており、</w:t>
      </w:r>
      <w:r>
        <w:rPr>
          <w:w w:val="90"/>
          <w:lang w:eastAsia="ja-JP"/>
        </w:rPr>
        <w:t>研究プロトコルで定められた</w:t>
      </w:r>
      <w:r>
        <w:rPr>
          <w:w w:val="85"/>
          <w:lang w:eastAsia="ja-JP"/>
        </w:rPr>
        <w:t>基準に従って投与されます。</w:t>
      </w:r>
    </w:p>
    <w:p w14:paraId="24A2FE25" w14:textId="77777777" w:rsidR="0092721B" w:rsidRDefault="00D22738">
      <w:pPr>
        <w:spacing w:before="116"/>
        <w:ind w:left="413"/>
        <w:jc w:val="both"/>
        <w:rPr>
          <w:sz w:val="18"/>
          <w:lang w:eastAsia="ja-JP"/>
        </w:rPr>
      </w:pPr>
      <w:r>
        <w:rPr>
          <w:b/>
          <w:w w:val="80"/>
          <w:sz w:val="18"/>
          <w:lang w:eastAsia="ja-JP"/>
        </w:rPr>
        <w:t>二酸化塩素投与プロトコル</w:t>
      </w:r>
      <w:r>
        <w:rPr>
          <w:w w:val="80"/>
          <w:sz w:val="18"/>
          <w:lang w:eastAsia="ja-JP"/>
        </w:rPr>
        <w:t>を使用。</w:t>
      </w:r>
    </w:p>
    <w:p w14:paraId="1BFC8645" w14:textId="77777777" w:rsidR="0092721B" w:rsidRDefault="00D22738">
      <w:pPr>
        <w:pStyle w:val="a3"/>
        <w:spacing w:before="122" w:line="249" w:lineRule="auto"/>
        <w:ind w:right="125"/>
        <w:rPr>
          <w:lang w:eastAsia="ja-JP"/>
        </w:rPr>
      </w:pPr>
      <w:r>
        <w:rPr>
          <w:b/>
          <w:w w:val="80"/>
          <w:lang w:eastAsia="ja-JP"/>
        </w:rPr>
        <w:t>初期プロトコル、ローディングまたはプロトコル（F）：</w:t>
      </w:r>
      <w:r>
        <w:rPr>
          <w:w w:val="80"/>
          <w:lang w:eastAsia="ja-JP"/>
        </w:rPr>
        <w:t>水1リットルに二酸化塩素3000ppmを10ml加え、2時間後に8等分して服用する。その後、投与する。</w:t>
      </w:r>
    </w:p>
    <w:p w14:paraId="41B7BAB7" w14:textId="77777777" w:rsidR="0092721B" w:rsidRDefault="00D22738">
      <w:pPr>
        <w:pStyle w:val="a3"/>
        <w:spacing w:before="116" w:line="249" w:lineRule="auto"/>
        <w:ind w:right="124"/>
        <w:rPr>
          <w:lang w:eastAsia="ja-JP"/>
        </w:rPr>
      </w:pPr>
      <w:r>
        <w:rPr>
          <w:b/>
          <w:w w:val="80"/>
          <w:lang w:eastAsia="ja-JP"/>
        </w:rPr>
        <w:t>メンテナンスプロトコル(</w:t>
      </w:r>
      <w:r>
        <w:rPr>
          <w:w w:val="80"/>
          <w:lang w:eastAsia="ja-JP"/>
        </w:rPr>
        <w:t>C）</w:t>
      </w:r>
      <w:r>
        <w:rPr>
          <w:w w:val="85"/>
          <w:lang w:eastAsia="ja-JP"/>
        </w:rPr>
        <w:t>1リットルの水に</w:t>
      </w:r>
      <w:r>
        <w:rPr>
          <w:w w:val="80"/>
          <w:lang w:eastAsia="ja-JP"/>
        </w:rPr>
        <w:t>二酸化塩素3000ppmを10ml加え、1</w:t>
      </w:r>
      <w:r>
        <w:rPr>
          <w:w w:val="85"/>
          <w:lang w:eastAsia="ja-JP"/>
        </w:rPr>
        <w:t>リットルを10回に分けて</w:t>
      </w:r>
      <w:r>
        <w:rPr>
          <w:w w:val="80"/>
          <w:lang w:eastAsia="ja-JP"/>
        </w:rPr>
        <w:t>日中、1時間おきに飲ませる。</w:t>
      </w:r>
    </w:p>
    <w:p w14:paraId="4082DA6B" w14:textId="77777777" w:rsidR="0092721B" w:rsidRDefault="00D22738">
      <w:pPr>
        <w:pStyle w:val="a3"/>
        <w:spacing w:before="116" w:line="249" w:lineRule="auto"/>
        <w:ind w:right="124"/>
        <w:rPr>
          <w:lang w:eastAsia="ja-JP"/>
        </w:rPr>
      </w:pPr>
      <w:r>
        <w:rPr>
          <w:w w:val="85"/>
          <w:lang w:eastAsia="ja-JP"/>
        </w:rPr>
        <w:t>食前または食後60分以上経過した時点で、口の中で溶かして服用します。</w:t>
      </w:r>
      <w:r>
        <w:rPr>
          <w:w w:val="80"/>
          <w:lang w:eastAsia="ja-JP"/>
        </w:rPr>
        <w:t>納入された薬</w:t>
      </w:r>
      <w:r>
        <w:rPr>
          <w:w w:val="85"/>
          <w:lang w:eastAsia="ja-JP"/>
        </w:rPr>
        <w:t>に残量や不足はなく</w:t>
      </w:r>
      <w:r>
        <w:rPr>
          <w:w w:val="80"/>
          <w:lang w:eastAsia="ja-JP"/>
        </w:rPr>
        <w:t>、当初のプロトコールが厳守されています。</w:t>
      </w:r>
      <w:r>
        <w:rPr>
          <w:w w:val="90"/>
          <w:lang w:eastAsia="ja-JP"/>
        </w:rPr>
        <w:t>治療を放棄することは</w:t>
      </w:r>
      <w:r>
        <w:rPr>
          <w:w w:val="80"/>
          <w:lang w:eastAsia="ja-JP"/>
        </w:rPr>
        <w:t>あり</w:t>
      </w:r>
      <w:r>
        <w:rPr>
          <w:w w:val="90"/>
          <w:lang w:eastAsia="ja-JP"/>
        </w:rPr>
        <w:t>ません。</w:t>
      </w:r>
    </w:p>
    <w:p w14:paraId="77020FD6" w14:textId="77777777" w:rsidR="0092721B" w:rsidRDefault="008834D1">
      <w:pPr>
        <w:pStyle w:val="a3"/>
        <w:spacing w:before="9"/>
        <w:ind w:left="0" w:firstLine="0"/>
        <w:jc w:val="left"/>
        <w:rPr>
          <w:sz w:val="17"/>
          <w:lang w:eastAsia="ja-JP"/>
        </w:rPr>
      </w:pPr>
      <w:r>
        <w:pict w14:anchorId="374D797B">
          <v:shape id="docshape15" o:spid="_x0000_s1071" alt="" style="position:absolute;margin-left:313.25pt;margin-top:11.45pt;width:253.75pt;height:.1pt;z-index:-15723520;mso-wrap-edited:f;mso-width-percent:0;mso-height-percent:0;mso-wrap-distance-left:0;mso-wrap-distance-right:0;mso-position-horizontal-relative:page;mso-width-percent:0;mso-height-percent:0" coordsize="5075,1270" path="m,l5074,e" filled="f" strokecolor="#49266c" strokeweight="1pt">
            <v:path arrowok="t" o:connecttype="custom" o:connectlocs="0,0;2045963650,0" o:connectangles="0,0"/>
            <w10:wrap type="topAndBottom" anchorx="page"/>
          </v:shape>
        </w:pict>
      </w:r>
    </w:p>
    <w:p w14:paraId="25268432" w14:textId="77777777" w:rsidR="0092721B" w:rsidRDefault="00D22738">
      <w:pPr>
        <w:pStyle w:val="2"/>
        <w:rPr>
          <w:lang w:eastAsia="ja-JP"/>
        </w:rPr>
      </w:pPr>
      <w:r>
        <w:rPr>
          <w:color w:val="49266D"/>
          <w:w w:val="90"/>
          <w:lang w:eastAsia="ja-JP"/>
        </w:rPr>
        <w:t>結果</w:t>
      </w:r>
    </w:p>
    <w:p w14:paraId="51AA4AF4" w14:textId="77777777" w:rsidR="0092721B" w:rsidRDefault="00D22738">
      <w:pPr>
        <w:pStyle w:val="3"/>
        <w:spacing w:before="197"/>
        <w:rPr>
          <w:lang w:eastAsia="ja-JP"/>
        </w:rPr>
      </w:pPr>
      <w:r>
        <w:rPr>
          <w:w w:val="80"/>
          <w:lang w:eastAsia="ja-JP"/>
        </w:rPr>
        <w:t>試験開始時のパラメータの予備解析</w:t>
      </w:r>
    </w:p>
    <w:p w14:paraId="0D0A55D9" w14:textId="77777777" w:rsidR="0092721B" w:rsidRDefault="00D22738">
      <w:pPr>
        <w:pStyle w:val="a3"/>
        <w:spacing w:before="114"/>
        <w:ind w:left="413" w:firstLine="0"/>
        <w:jc w:val="left"/>
        <w:rPr>
          <w:lang w:eastAsia="ja-JP"/>
        </w:rPr>
      </w:pPr>
      <w:r>
        <w:rPr>
          <w:w w:val="85"/>
          <w:lang w:eastAsia="ja-JP"/>
        </w:rPr>
        <w:t>時点での実験群の患者の特徴は</w:t>
      </w:r>
    </w:p>
    <w:p w14:paraId="608C2C30" w14:textId="77777777" w:rsidR="0092721B" w:rsidRDefault="0092721B">
      <w:pPr>
        <w:rPr>
          <w:lang w:eastAsia="ja-JP"/>
        </w:rPr>
        <w:sectPr w:rsidR="0092721B">
          <w:type w:val="continuous"/>
          <w:pgSz w:w="11910" w:h="16840"/>
          <w:pgMar w:top="760" w:right="440" w:bottom="280" w:left="720" w:header="814" w:footer="686" w:gutter="0"/>
          <w:cols w:num="2" w:space="720" w:equalWidth="0">
            <w:col w:w="5246" w:space="169"/>
            <w:col w:w="5335"/>
          </w:cols>
        </w:sectPr>
      </w:pPr>
    </w:p>
    <w:p w14:paraId="7C881CC7" w14:textId="77777777" w:rsidR="0092721B" w:rsidRDefault="0092721B">
      <w:pPr>
        <w:pStyle w:val="a3"/>
        <w:spacing w:before="7"/>
        <w:ind w:left="0" w:firstLine="0"/>
        <w:jc w:val="left"/>
        <w:rPr>
          <w:sz w:val="14"/>
          <w:lang w:eastAsia="ja-JP"/>
        </w:rPr>
      </w:pPr>
    </w:p>
    <w:p w14:paraId="0CC4FB5A" w14:textId="77777777" w:rsidR="0092721B" w:rsidRDefault="0092721B">
      <w:pPr>
        <w:rPr>
          <w:sz w:val="14"/>
          <w:lang w:eastAsia="ja-JP"/>
        </w:rPr>
        <w:sectPr w:rsidR="0092721B">
          <w:pgSz w:w="11910" w:h="16840"/>
          <w:pgMar w:top="1080" w:right="440" w:bottom="880" w:left="720" w:header="814" w:footer="686" w:gutter="0"/>
          <w:cols w:space="720"/>
        </w:sectPr>
      </w:pPr>
    </w:p>
    <w:p w14:paraId="7BEB6550" w14:textId="77777777" w:rsidR="0092721B" w:rsidRDefault="00D22738">
      <w:pPr>
        <w:pStyle w:val="a3"/>
        <w:spacing w:before="104" w:line="249" w:lineRule="auto"/>
        <w:ind w:right="39" w:firstLine="0"/>
        <w:rPr>
          <w:lang w:eastAsia="ja-JP"/>
        </w:rPr>
      </w:pPr>
      <w:r>
        <w:rPr>
          <w:w w:val="80"/>
          <w:lang w:eastAsia="ja-JP"/>
        </w:rPr>
        <w:t>の入院時に、RT-PCRが陽性であることを確認した後、以下の</w:t>
      </w:r>
      <w:r>
        <w:rPr>
          <w:w w:val="85"/>
          <w:lang w:eastAsia="ja-JP"/>
        </w:rPr>
        <w:t>データ</w:t>
      </w:r>
      <w:r>
        <w:rPr>
          <w:w w:val="80"/>
          <w:lang w:eastAsia="ja-JP"/>
        </w:rPr>
        <w:t>を作成しました。性別</w:t>
      </w:r>
      <w:r>
        <w:rPr>
          <w:w w:val="85"/>
          <w:lang w:eastAsia="ja-JP"/>
        </w:rPr>
        <w:t>では、男性13名（65％）、女性7名（35％）。</w:t>
      </w:r>
    </w:p>
    <w:p w14:paraId="109AA20E" w14:textId="77777777" w:rsidR="0092721B" w:rsidRDefault="00D22738">
      <w:pPr>
        <w:pStyle w:val="a3"/>
        <w:spacing w:before="115" w:line="249" w:lineRule="auto"/>
        <w:ind w:right="38"/>
        <w:rPr>
          <w:lang w:eastAsia="ja-JP"/>
        </w:rPr>
      </w:pPr>
      <w:r>
        <w:rPr>
          <w:w w:val="85"/>
          <w:lang w:eastAsia="ja-JP"/>
        </w:rPr>
        <w:t>年齢は、最低36歳から</w:t>
      </w:r>
      <w:r>
        <w:rPr>
          <w:w w:val="80"/>
          <w:lang w:eastAsia="ja-JP"/>
        </w:rPr>
        <w:t>最高</w:t>
      </w:r>
      <w:r>
        <w:rPr>
          <w:w w:val="85"/>
          <w:lang w:eastAsia="ja-JP"/>
        </w:rPr>
        <w:t>72歳まで。</w:t>
      </w:r>
      <w:r>
        <w:rPr>
          <w:w w:val="80"/>
          <w:lang w:eastAsia="ja-JP"/>
        </w:rPr>
        <w:t>男性の平均年齢は47.6歳、女性の平均年齢は58歳。一般的な平均年齢は53.2歳である。</w:t>
      </w:r>
    </w:p>
    <w:p w14:paraId="1747AD75" w14:textId="77777777" w:rsidR="0092721B" w:rsidRDefault="00D22738">
      <w:pPr>
        <w:pStyle w:val="a3"/>
        <w:spacing w:before="115" w:line="249" w:lineRule="auto"/>
        <w:ind w:right="38"/>
        <w:rPr>
          <w:lang w:eastAsia="ja-JP"/>
        </w:rPr>
      </w:pPr>
      <w:r>
        <w:rPr>
          <w:w w:val="80"/>
          <w:lang w:eastAsia="ja-JP"/>
        </w:rPr>
        <w:t>二酸化塩素の起こりうる副作用を記録するために、各患者のデータとアドヒアランス・プロセス</w:t>
      </w:r>
      <w:r>
        <w:rPr>
          <w:w w:val="85"/>
          <w:lang w:eastAsia="ja-JP"/>
        </w:rPr>
        <w:t>が</w:t>
      </w:r>
      <w:r>
        <w:rPr>
          <w:w w:val="80"/>
          <w:lang w:eastAsia="ja-JP"/>
        </w:rPr>
        <w:t>置かれる平行した器具がデザインされました。</w:t>
      </w:r>
      <w:r>
        <w:rPr>
          <w:w w:val="85"/>
          <w:lang w:eastAsia="ja-JP"/>
        </w:rPr>
        <w:t>2人の患者では、</w:t>
      </w:r>
      <w:r>
        <w:rPr>
          <w:w w:val="80"/>
          <w:lang w:eastAsia="ja-JP"/>
        </w:rPr>
        <w:t>治療後</w:t>
      </w:r>
      <w:r>
        <w:rPr>
          <w:w w:val="85"/>
          <w:lang w:eastAsia="ja-JP"/>
        </w:rPr>
        <w:t>7日</w:t>
      </w:r>
      <w:r>
        <w:rPr>
          <w:w w:val="80"/>
          <w:lang w:eastAsia="ja-JP"/>
        </w:rPr>
        <w:t>目</w:t>
      </w:r>
      <w:r>
        <w:rPr>
          <w:w w:val="85"/>
          <w:lang w:eastAsia="ja-JP"/>
        </w:rPr>
        <w:t>に胃炎のわずかな感覚が</w:t>
      </w:r>
      <w:r>
        <w:rPr>
          <w:w w:val="80"/>
          <w:lang w:eastAsia="ja-JP"/>
        </w:rPr>
        <w:t>一時的に</w:t>
      </w:r>
      <w:r>
        <w:rPr>
          <w:w w:val="85"/>
          <w:lang w:eastAsia="ja-JP"/>
        </w:rPr>
        <w:t>記録された</w:t>
      </w:r>
      <w:r>
        <w:rPr>
          <w:w w:val="80"/>
          <w:lang w:eastAsia="ja-JP"/>
        </w:rPr>
        <w:t>が、これは介入することなく解消され、</w:t>
      </w:r>
      <w:r>
        <w:rPr>
          <w:w w:val="85"/>
          <w:lang w:eastAsia="ja-JP"/>
        </w:rPr>
        <w:t>投薬を中止する必要は</w:t>
      </w:r>
      <w:r>
        <w:rPr>
          <w:w w:val="80"/>
          <w:lang w:eastAsia="ja-JP"/>
        </w:rPr>
        <w:t>なかった</w:t>
      </w:r>
      <w:r>
        <w:rPr>
          <w:w w:val="85"/>
          <w:lang w:eastAsia="ja-JP"/>
        </w:rPr>
        <w:t>（図6）。</w:t>
      </w:r>
    </w:p>
    <w:p w14:paraId="33D62816" w14:textId="77777777" w:rsidR="0092721B" w:rsidRDefault="00D22738">
      <w:pPr>
        <w:pStyle w:val="3"/>
        <w:spacing w:before="104"/>
        <w:rPr>
          <w:lang w:eastAsia="ja-JP"/>
        </w:rPr>
      </w:pPr>
      <w:r>
        <w:rPr>
          <w:w w:val="80"/>
          <w:lang w:eastAsia="ja-JP"/>
        </w:rPr>
        <w:t>対照群の特徴</w:t>
      </w:r>
    </w:p>
    <w:p w14:paraId="39CCB1E1" w14:textId="77777777" w:rsidR="0092721B" w:rsidRDefault="00D22738">
      <w:pPr>
        <w:pStyle w:val="a3"/>
        <w:spacing w:before="114" w:line="249" w:lineRule="auto"/>
        <w:ind w:right="38"/>
        <w:rPr>
          <w:lang w:eastAsia="ja-JP"/>
        </w:rPr>
      </w:pPr>
      <w:r>
        <w:rPr>
          <w:w w:val="85"/>
          <w:lang w:eastAsia="ja-JP"/>
        </w:rPr>
        <w:t>RT-PCRが陽性であることを確認した後の入院時における対照群の患者の特徴は、以下のデータを生み出した。性別：男性患者10名（50％）、女性患者10名（50％）。</w:t>
      </w:r>
    </w:p>
    <w:p w14:paraId="7CD0CF10" w14:textId="77777777" w:rsidR="0092721B" w:rsidRDefault="00D22738">
      <w:pPr>
        <w:pStyle w:val="a3"/>
        <w:spacing w:before="115" w:line="249" w:lineRule="auto"/>
        <w:ind w:right="38"/>
        <w:rPr>
          <w:lang w:eastAsia="ja-JP"/>
        </w:rPr>
      </w:pPr>
      <w:r>
        <w:rPr>
          <w:w w:val="85"/>
          <w:lang w:eastAsia="ja-JP"/>
        </w:rPr>
        <w:t>年齢は、最低44歳から</w:t>
      </w:r>
      <w:r>
        <w:rPr>
          <w:w w:val="80"/>
          <w:lang w:eastAsia="ja-JP"/>
        </w:rPr>
        <w:t>最高</w:t>
      </w:r>
      <w:r>
        <w:rPr>
          <w:w w:val="85"/>
          <w:lang w:eastAsia="ja-JP"/>
        </w:rPr>
        <w:t>69歳まで。</w:t>
      </w:r>
      <w:r>
        <w:rPr>
          <w:w w:val="80"/>
          <w:lang w:eastAsia="ja-JP"/>
        </w:rPr>
        <w:t>男性の平均年齢は55.6歳、女性は52歳です。一般的な平均年齢は54.5歳である（図7）。</w:t>
      </w:r>
    </w:p>
    <w:p w14:paraId="71A4A035" w14:textId="77777777" w:rsidR="0092721B" w:rsidRDefault="00D22738">
      <w:pPr>
        <w:pStyle w:val="3"/>
        <w:spacing w:before="113" w:line="228" w:lineRule="auto"/>
        <w:ind w:right="38"/>
      </w:pPr>
      <w:r>
        <w:rPr>
          <w:w w:val="85"/>
        </w:rPr>
        <w:t>実験群と対照群を比率の比較</w:t>
      </w:r>
      <w:r>
        <w:rPr>
          <w:w w:val="80"/>
        </w:rPr>
        <w:t>検定とその信頼区間、Wilcoxon-Mann-</w:t>
      </w:r>
      <w:r>
        <w:rPr>
          <w:w w:val="90"/>
        </w:rPr>
        <w:t>Whitney検定で</w:t>
      </w:r>
      <w:r>
        <w:rPr>
          <w:w w:val="85"/>
        </w:rPr>
        <w:t>比較した結果</w:t>
      </w:r>
      <w:r>
        <w:rPr>
          <w:w w:val="90"/>
        </w:rPr>
        <w:t>（</w:t>
      </w:r>
      <w:r>
        <w:rPr>
          <w:rFonts w:ascii="Courier New" w:hAnsi="Courier New"/>
          <w:w w:val="90"/>
        </w:rPr>
        <w:t>α</w:t>
      </w:r>
      <w:r>
        <w:rPr>
          <w:w w:val="90"/>
        </w:rPr>
        <w:t>：95</w:t>
      </w:r>
    </w:p>
    <w:p w14:paraId="53A2F3C9" w14:textId="77777777" w:rsidR="0092721B" w:rsidRDefault="00D22738">
      <w:pPr>
        <w:pStyle w:val="a3"/>
        <w:spacing w:before="99" w:line="252" w:lineRule="auto"/>
        <w:ind w:right="38"/>
      </w:pPr>
      <w:r>
        <w:rPr>
          <w:w w:val="85"/>
        </w:rPr>
        <w:t>ClO</w:t>
      </w:r>
      <w:r>
        <w:rPr>
          <w:rFonts w:ascii="Cambria Math" w:hAnsi="Cambria Math"/>
          <w:w w:val="85"/>
        </w:rPr>
        <w:t>₂</w:t>
      </w:r>
      <w:r>
        <w:rPr>
          <w:w w:val="85"/>
        </w:rPr>
        <w:t>の有効性を評価するために、</w:t>
      </w:r>
      <w:r>
        <w:rPr>
          <w:w w:val="80"/>
        </w:rPr>
        <w:t>症状発現から7日後、14日後</w:t>
      </w:r>
      <w:r>
        <w:rPr>
          <w:w w:val="85"/>
        </w:rPr>
        <w:t xml:space="preserve">のCohort points of Onset of </w:t>
      </w:r>
      <w:r>
        <w:rPr>
          <w:w w:val="80"/>
        </w:rPr>
        <w:t>Symptoms</w:t>
      </w:r>
      <w:r>
        <w:rPr>
          <w:w w:val="85"/>
        </w:rPr>
        <w:t>において、実験群から得られたデータをControl群と比較して、各</w:t>
      </w:r>
      <w:r>
        <w:rPr>
          <w:w w:val="80"/>
        </w:rPr>
        <w:t>項目</w:t>
      </w:r>
      <w:r>
        <w:rPr>
          <w:w w:val="85"/>
        </w:rPr>
        <w:t>の結果を</w:t>
      </w:r>
      <w:r>
        <w:rPr>
          <w:w w:val="80"/>
        </w:rPr>
        <w:t>比率の比較検定とその</w:t>
      </w:r>
      <w:r>
        <w:rPr>
          <w:w w:val="85"/>
        </w:rPr>
        <w:t>信頼区間（一般症状）、Wilcoxon - Mann - Whitney検定（</w:t>
      </w:r>
      <w:r>
        <w:rPr>
          <w:rFonts w:ascii="Courier New" w:hAnsi="Courier New"/>
          <w:w w:val="85"/>
        </w:rPr>
        <w:t>α</w:t>
      </w:r>
      <w:r>
        <w:rPr>
          <w:w w:val="85"/>
        </w:rPr>
        <w:t>：95％）（VASおよびLikert）</w:t>
      </w:r>
      <w:r>
        <w:rPr>
          <w:w w:val="80"/>
        </w:rPr>
        <w:t>によって比較しました。</w:t>
      </w:r>
    </w:p>
    <w:p w14:paraId="2D6F3A77" w14:textId="77777777" w:rsidR="0092721B" w:rsidRDefault="00D22738">
      <w:pPr>
        <w:pStyle w:val="a3"/>
        <w:spacing w:before="123" w:line="256" w:lineRule="auto"/>
        <w:ind w:right="39"/>
        <w:rPr>
          <w:lang w:eastAsia="ja-JP"/>
        </w:rPr>
      </w:pPr>
      <w:r>
        <w:rPr>
          <w:w w:val="85"/>
          <w:lang w:eastAsia="ja-JP"/>
        </w:rPr>
        <w:t>以下では、一般的な</w:t>
      </w:r>
      <w:r>
        <w:rPr>
          <w:w w:val="80"/>
          <w:lang w:eastAsia="ja-JP"/>
        </w:rPr>
        <w:t>症状</w:t>
      </w:r>
      <w:r>
        <w:rPr>
          <w:w w:val="85"/>
          <w:lang w:eastAsia="ja-JP"/>
        </w:rPr>
        <w:t>について、</w:t>
      </w:r>
      <w:r>
        <w:rPr>
          <w:w w:val="80"/>
          <w:lang w:eastAsia="ja-JP"/>
        </w:rPr>
        <w:t>VASとLikertによる</w:t>
      </w:r>
      <w:r>
        <w:rPr>
          <w:w w:val="85"/>
          <w:lang w:eastAsia="ja-JP"/>
        </w:rPr>
        <w:t>グループ間の比較を紹介します</w:t>
      </w:r>
      <w:r>
        <w:rPr>
          <w:w w:val="80"/>
          <w:lang w:eastAsia="ja-JP"/>
        </w:rPr>
        <w:t>（表1）。</w:t>
      </w:r>
    </w:p>
    <w:p w14:paraId="1F22B5E8" w14:textId="77777777" w:rsidR="0092721B" w:rsidRDefault="00D22738">
      <w:pPr>
        <w:pStyle w:val="a3"/>
        <w:spacing w:before="115" w:line="256" w:lineRule="auto"/>
        <w:ind w:right="38"/>
        <w:rPr>
          <w:lang w:eastAsia="ja-JP"/>
        </w:rPr>
      </w:pPr>
      <w:r>
        <w:rPr>
          <w:w w:val="80"/>
          <w:lang w:eastAsia="ja-JP"/>
        </w:rPr>
        <w:t>全身症状については、全身症状の発症日において、両群（対照群、実験群）ともにほとんどの項目で同じ（p</w:t>
      </w:r>
    </w:p>
    <w:p w14:paraId="11A9547C" w14:textId="77777777" w:rsidR="0092721B" w:rsidRDefault="00D22738">
      <w:pPr>
        <w:pStyle w:val="a3"/>
        <w:spacing w:before="1" w:line="256" w:lineRule="auto"/>
        <w:ind w:right="38" w:firstLine="0"/>
        <w:rPr>
          <w:lang w:eastAsia="ja-JP"/>
        </w:rPr>
      </w:pPr>
      <w:r>
        <w:rPr>
          <w:w w:val="80"/>
          <w:lang w:eastAsia="ja-JP"/>
        </w:rPr>
        <w:t>&gt; 0.05).しかし、「寒気」については、実験群の方が対照群の平均値（15.5）よりも高い値（25.5）を示しました（p：0,0001）。これらの結果から、</w:t>
      </w:r>
      <w:r>
        <w:rPr>
          <w:w w:val="85"/>
          <w:lang w:eastAsia="ja-JP"/>
        </w:rPr>
        <w:t>一般的な症状については、両グループとも同様の</w:t>
      </w:r>
      <w:r>
        <w:rPr>
          <w:w w:val="90"/>
          <w:lang w:eastAsia="ja-JP"/>
        </w:rPr>
        <w:t>行動をとっている</w:t>
      </w:r>
      <w:r>
        <w:rPr>
          <w:w w:val="85"/>
          <w:lang w:eastAsia="ja-JP"/>
        </w:rPr>
        <w:t>ことが確認されました。</w:t>
      </w:r>
    </w:p>
    <w:p w14:paraId="281ACC4D" w14:textId="77777777" w:rsidR="0092721B" w:rsidRDefault="00D22738">
      <w:pPr>
        <w:pStyle w:val="a3"/>
        <w:spacing w:before="115" w:line="256" w:lineRule="auto"/>
        <w:ind w:right="38"/>
        <w:rPr>
          <w:lang w:eastAsia="ja-JP"/>
        </w:rPr>
      </w:pPr>
      <w:r>
        <w:rPr>
          <w:w w:val="85"/>
          <w:lang w:eastAsia="ja-JP"/>
        </w:rPr>
        <w:t>症状発現後7日目の比較では、発熱（p：0000）、咳（p：0000）の症状について、実験群が対照群に対して有意な差を示した。</w:t>
      </w:r>
    </w:p>
    <w:p w14:paraId="271C62BE" w14:textId="77777777" w:rsidR="0092721B" w:rsidRDefault="00D22738">
      <w:pPr>
        <w:pStyle w:val="a3"/>
        <w:spacing w:before="1" w:line="256" w:lineRule="auto"/>
        <w:ind w:right="38" w:firstLine="0"/>
        <w:rPr>
          <w:lang w:eastAsia="ja-JP"/>
        </w:rPr>
      </w:pPr>
      <w:r>
        <w:rPr>
          <w:w w:val="80"/>
          <w:lang w:eastAsia="ja-JP"/>
        </w:rPr>
        <w:t>0.000）、悪寒（p：0.000）、呼吸困難（p：0.0006）であった。また、14日目には、症状が消え</w:t>
      </w:r>
      <w:r>
        <w:rPr>
          <w:w w:val="85"/>
          <w:lang w:eastAsia="ja-JP"/>
        </w:rPr>
        <w:t>なかった</w:t>
      </w:r>
      <w:r>
        <w:rPr>
          <w:w w:val="80"/>
          <w:lang w:eastAsia="ja-JP"/>
        </w:rPr>
        <w:t>項目について</w:t>
      </w:r>
      <w:r>
        <w:rPr>
          <w:w w:val="85"/>
          <w:lang w:eastAsia="ja-JP"/>
        </w:rPr>
        <w:t>、</w:t>
      </w:r>
      <w:r>
        <w:rPr>
          <w:w w:val="80"/>
          <w:lang w:eastAsia="ja-JP"/>
        </w:rPr>
        <w:t>実験群</w:t>
      </w:r>
      <w:r>
        <w:rPr>
          <w:w w:val="85"/>
          <w:lang w:eastAsia="ja-JP"/>
        </w:rPr>
        <w:t>との差が非常に大きくなり、</w:t>
      </w:r>
      <w:r>
        <w:rPr>
          <w:w w:val="80"/>
          <w:lang w:eastAsia="ja-JP"/>
        </w:rPr>
        <w:t>症状が</w:t>
      </w:r>
      <w:r>
        <w:rPr>
          <w:w w:val="85"/>
          <w:lang w:eastAsia="ja-JP"/>
        </w:rPr>
        <w:t>軽減されました</w:t>
      </w:r>
      <w:r>
        <w:rPr>
          <w:w w:val="80"/>
          <w:lang w:eastAsia="ja-JP"/>
        </w:rPr>
        <w:t>（表2）。</w:t>
      </w:r>
    </w:p>
    <w:p w14:paraId="0704D26B" w14:textId="77777777" w:rsidR="0092721B" w:rsidRDefault="00D22738">
      <w:pPr>
        <w:pStyle w:val="a3"/>
        <w:spacing w:before="115" w:line="256" w:lineRule="auto"/>
        <w:ind w:right="38"/>
        <w:rPr>
          <w:lang w:eastAsia="ja-JP"/>
        </w:rPr>
      </w:pPr>
      <w:r>
        <w:rPr>
          <w:w w:val="85"/>
          <w:lang w:eastAsia="ja-JP"/>
        </w:rPr>
        <w:t>VASスケールについては、症状が現れた時点で、両群ともに痛みの主観的評価は同じであった。対照群と実験群で同じように痛みの視覚的アナログ比較を行ったところ、</w:t>
      </w:r>
      <w:r>
        <w:rPr>
          <w:w w:val="80"/>
          <w:lang w:eastAsia="ja-JP"/>
        </w:rPr>
        <w:t>7日目には、</w:t>
      </w:r>
      <w:r>
        <w:rPr>
          <w:w w:val="85"/>
          <w:lang w:eastAsia="ja-JP"/>
        </w:rPr>
        <w:t>尺度を構成するすべての項目が</w:t>
      </w:r>
      <w:r>
        <w:rPr>
          <w:w w:val="80"/>
          <w:lang w:eastAsia="ja-JP"/>
        </w:rPr>
        <w:t>対照群に対して有意に減少していること</w:t>
      </w:r>
      <w:r>
        <w:rPr>
          <w:w w:val="85"/>
          <w:lang w:eastAsia="ja-JP"/>
        </w:rPr>
        <w:t>がわかった</w:t>
      </w:r>
      <w:r>
        <w:rPr>
          <w:w w:val="80"/>
          <w:lang w:eastAsia="ja-JP"/>
        </w:rPr>
        <w:t>( p:0,0000 ; p:0,0017)。痛みの症状で唯一変わらなかったのは腰痛でした（P：0,9633）。症状発現後14日目には、その差はさらに大きくなった（p：0.000 ; p：0,0043 y p：0,0067）（Table 3）。</w:t>
      </w:r>
    </w:p>
    <w:p w14:paraId="5F08F99C" w14:textId="77777777" w:rsidR="0092721B" w:rsidRDefault="00D22738">
      <w:pPr>
        <w:pStyle w:val="a3"/>
        <w:spacing w:before="117" w:line="256" w:lineRule="auto"/>
        <w:ind w:right="38"/>
        <w:rPr>
          <w:lang w:eastAsia="ja-JP"/>
        </w:rPr>
      </w:pPr>
      <w:r>
        <w:rPr>
          <w:w w:val="80"/>
          <w:lang w:eastAsia="ja-JP"/>
        </w:rPr>
        <w:t>両群（対照群と実験群）の評価では、PC反応性パラメータ（p：0.0398）と乳酸DH（0.0422）の値に差が見られ、実験群の方がスコアが高かったが、</w:t>
      </w:r>
      <w:r>
        <w:rPr>
          <w:w w:val="85"/>
          <w:lang w:eastAsia="ja-JP"/>
        </w:rPr>
        <w:t>その他のパラメータには</w:t>
      </w:r>
      <w:r>
        <w:rPr>
          <w:w w:val="80"/>
          <w:lang w:eastAsia="ja-JP"/>
        </w:rPr>
        <w:t>差が見られなかった。症状が出てから</w:t>
      </w:r>
      <w:r>
        <w:rPr>
          <w:w w:val="85"/>
          <w:lang w:eastAsia="ja-JP"/>
        </w:rPr>
        <w:t>7日目に各群を比較したところ、</w:t>
      </w:r>
      <w:r>
        <w:rPr>
          <w:w w:val="80"/>
          <w:lang w:eastAsia="ja-JP"/>
        </w:rPr>
        <w:t>リンパ球と白血球だけは</w:t>
      </w:r>
      <w:r>
        <w:rPr>
          <w:w w:val="85"/>
          <w:lang w:eastAsia="ja-JP"/>
        </w:rPr>
        <w:t>両群間に差がなかったが（p&gt;0.05）、その他のパラメータは実験群が対照</w:t>
      </w:r>
      <w:r>
        <w:rPr>
          <w:spacing w:val="-2"/>
          <w:w w:val="85"/>
          <w:lang w:eastAsia="ja-JP"/>
        </w:rPr>
        <w:t>群</w:t>
      </w:r>
      <w:r>
        <w:rPr>
          <w:w w:val="85"/>
          <w:lang w:eastAsia="ja-JP"/>
        </w:rPr>
        <w:t>に</w:t>
      </w:r>
      <w:r>
        <w:rPr>
          <w:spacing w:val="-3"/>
          <w:w w:val="85"/>
          <w:lang w:eastAsia="ja-JP"/>
        </w:rPr>
        <w:t>比べて</w:t>
      </w:r>
      <w:r>
        <w:rPr>
          <w:w w:val="85"/>
          <w:lang w:eastAsia="ja-JP"/>
        </w:rPr>
        <w:t>有意に減少した（p:</w:t>
      </w:r>
      <w:r>
        <w:rPr>
          <w:spacing w:val="-3"/>
          <w:w w:val="85"/>
          <w:lang w:eastAsia="ja-JP"/>
        </w:rPr>
        <w:t>0</w:t>
      </w:r>
      <w:r>
        <w:rPr>
          <w:w w:val="85"/>
          <w:lang w:eastAsia="ja-JP"/>
        </w:rPr>
        <w:t>,0001; p:0,0036; p:0,0403; p:0,0194; p:0,0003）。14日目には、すべての生化学的パラメータが</w:t>
      </w:r>
      <w:r>
        <w:rPr>
          <w:w w:val="90"/>
          <w:lang w:eastAsia="ja-JP"/>
        </w:rPr>
        <w:t>対照群に比べて</w:t>
      </w:r>
      <w:r>
        <w:rPr>
          <w:w w:val="80"/>
          <w:lang w:eastAsia="ja-JP"/>
        </w:rPr>
        <w:t>実験群で有意に減少した</w:t>
      </w:r>
      <w:r>
        <w:rPr>
          <w:w w:val="90"/>
          <w:lang w:eastAsia="ja-JP"/>
        </w:rPr>
        <w:t xml:space="preserve">（p </w:t>
      </w:r>
      <w:r>
        <w:rPr>
          <w:color w:val="333333"/>
          <w:w w:val="90"/>
          <w:lang w:eastAsia="ja-JP"/>
        </w:rPr>
        <w:t>&lt; 0,05）。</w:t>
      </w:r>
    </w:p>
    <w:p w14:paraId="765CABFC" w14:textId="77777777" w:rsidR="0092721B" w:rsidRDefault="00D22738">
      <w:pPr>
        <w:spacing w:before="2" w:after="25"/>
        <w:rPr>
          <w:sz w:val="10"/>
          <w:lang w:eastAsia="ja-JP"/>
        </w:rPr>
      </w:pPr>
      <w:r>
        <w:rPr>
          <w:lang w:eastAsia="ja-JP"/>
        </w:rPr>
        <w:br w:type="column"/>
      </w:r>
    </w:p>
    <w:p w14:paraId="5C3EEC57" w14:textId="77777777" w:rsidR="0092721B" w:rsidRDefault="00D22738">
      <w:pPr>
        <w:pStyle w:val="a3"/>
        <w:ind w:left="161" w:firstLine="0"/>
        <w:jc w:val="left"/>
        <w:rPr>
          <w:sz w:val="20"/>
        </w:rPr>
      </w:pPr>
      <w:r>
        <w:rPr>
          <w:noProof/>
          <w:sz w:val="20"/>
        </w:rPr>
        <w:drawing>
          <wp:inline distT="0" distB="0" distL="0" distR="0" wp14:anchorId="7F7F4D8A" wp14:editId="51CE938E">
            <wp:extent cx="3212463" cy="221589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3212463" cy="2215896"/>
                    </a:xfrm>
                    <a:prstGeom prst="rect">
                      <a:avLst/>
                    </a:prstGeom>
                  </pic:spPr>
                </pic:pic>
              </a:graphicData>
            </a:graphic>
          </wp:inline>
        </w:drawing>
      </w:r>
    </w:p>
    <w:p w14:paraId="74FDA0F1" w14:textId="77777777" w:rsidR="0092721B" w:rsidRDefault="00D22738">
      <w:pPr>
        <w:spacing w:before="109"/>
        <w:ind w:left="1299"/>
        <w:rPr>
          <w:sz w:val="16"/>
          <w:lang w:eastAsia="ja-JP"/>
        </w:rPr>
      </w:pPr>
      <w:r>
        <w:rPr>
          <w:w w:val="80"/>
          <w:sz w:val="16"/>
          <w:lang w:eastAsia="ja-JP"/>
        </w:rPr>
        <w:t>図6：実験グループの患者の年齢</w:t>
      </w:r>
    </w:p>
    <w:p w14:paraId="41142780" w14:textId="77777777" w:rsidR="0092721B" w:rsidRDefault="0092721B">
      <w:pPr>
        <w:pStyle w:val="a3"/>
        <w:ind w:left="0" w:firstLine="0"/>
        <w:jc w:val="left"/>
        <w:rPr>
          <w:sz w:val="20"/>
          <w:lang w:eastAsia="ja-JP"/>
        </w:rPr>
      </w:pPr>
    </w:p>
    <w:p w14:paraId="3D3C2D58" w14:textId="77777777" w:rsidR="0092721B" w:rsidRDefault="00D22738">
      <w:pPr>
        <w:pStyle w:val="a3"/>
        <w:spacing w:before="4"/>
        <w:ind w:left="0" w:firstLine="0"/>
        <w:jc w:val="left"/>
        <w:rPr>
          <w:sz w:val="10"/>
          <w:lang w:eastAsia="ja-JP"/>
        </w:rPr>
      </w:pPr>
      <w:r>
        <w:rPr>
          <w:noProof/>
        </w:rPr>
        <w:drawing>
          <wp:anchor distT="0" distB="0" distL="0" distR="0" simplePos="0" relativeHeight="11" behindDoc="0" locked="0" layoutInCell="1" allowOverlap="1" wp14:anchorId="7CFF8221" wp14:editId="71301A21">
            <wp:simplePos x="0" y="0"/>
            <wp:positionH relativeFrom="page">
              <wp:posOffset>3976547</wp:posOffset>
            </wp:positionH>
            <wp:positionV relativeFrom="paragraph">
              <wp:posOffset>91308</wp:posOffset>
            </wp:positionV>
            <wp:extent cx="3229104" cy="153619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3229104" cy="1536191"/>
                    </a:xfrm>
                    <a:prstGeom prst="rect">
                      <a:avLst/>
                    </a:prstGeom>
                  </pic:spPr>
                </pic:pic>
              </a:graphicData>
            </a:graphic>
          </wp:anchor>
        </w:drawing>
      </w:r>
    </w:p>
    <w:p w14:paraId="48A46CA0" w14:textId="77777777" w:rsidR="0092721B" w:rsidRDefault="0092721B">
      <w:pPr>
        <w:pStyle w:val="a3"/>
        <w:spacing w:before="1"/>
        <w:ind w:left="0" w:firstLine="0"/>
        <w:jc w:val="left"/>
        <w:rPr>
          <w:sz w:val="16"/>
          <w:lang w:eastAsia="ja-JP"/>
        </w:rPr>
      </w:pPr>
    </w:p>
    <w:p w14:paraId="66E7FFED" w14:textId="77777777" w:rsidR="0092721B" w:rsidRDefault="00D22738">
      <w:pPr>
        <w:ind w:left="1289"/>
        <w:rPr>
          <w:sz w:val="18"/>
          <w:lang w:eastAsia="ja-JP"/>
        </w:rPr>
      </w:pPr>
      <w:r>
        <w:rPr>
          <w:b/>
          <w:w w:val="80"/>
          <w:sz w:val="18"/>
          <w:lang w:eastAsia="ja-JP"/>
        </w:rPr>
        <w:t>図7：</w:t>
      </w:r>
      <w:r>
        <w:rPr>
          <w:w w:val="80"/>
          <w:sz w:val="18"/>
          <w:lang w:eastAsia="ja-JP"/>
        </w:rPr>
        <w:t>患者さんの年齢対照群。</w:t>
      </w:r>
    </w:p>
    <w:p w14:paraId="6D522413" w14:textId="77777777" w:rsidR="0092721B" w:rsidRDefault="0092721B">
      <w:pPr>
        <w:pStyle w:val="a3"/>
        <w:ind w:left="0" w:firstLine="0"/>
        <w:jc w:val="left"/>
        <w:rPr>
          <w:lang w:eastAsia="ja-JP"/>
        </w:rPr>
      </w:pPr>
    </w:p>
    <w:p w14:paraId="033EEC36" w14:textId="77777777" w:rsidR="0092721B" w:rsidRDefault="00D22738">
      <w:pPr>
        <w:pStyle w:val="a3"/>
        <w:spacing w:before="1" w:line="249" w:lineRule="auto"/>
        <w:ind w:left="132" w:right="124"/>
        <w:rPr>
          <w:lang w:eastAsia="ja-JP"/>
        </w:rPr>
      </w:pPr>
      <w:r>
        <w:rPr>
          <w:w w:val="85"/>
          <w:lang w:eastAsia="ja-JP"/>
        </w:rPr>
        <w:t>全体的な結果（p &lt; 0.05）は、COVID19の治療に二酸化塩素が有効であるという仮説を実証しています。</w:t>
      </w:r>
    </w:p>
    <w:p w14:paraId="1FF8781C" w14:textId="77777777" w:rsidR="0092721B" w:rsidRDefault="00D22738">
      <w:pPr>
        <w:pStyle w:val="3"/>
        <w:spacing w:before="101"/>
        <w:ind w:left="132"/>
        <w:rPr>
          <w:lang w:eastAsia="ja-JP"/>
        </w:rPr>
      </w:pPr>
      <w:r>
        <w:rPr>
          <w:w w:val="80"/>
          <w:lang w:eastAsia="ja-JP"/>
        </w:rPr>
        <w:t>介入の永続性</w:t>
      </w:r>
    </w:p>
    <w:p w14:paraId="1A248F43" w14:textId="77777777" w:rsidR="0092721B" w:rsidRDefault="00D22738">
      <w:pPr>
        <w:pStyle w:val="a3"/>
        <w:spacing w:before="114" w:line="249" w:lineRule="auto"/>
        <w:ind w:left="132" w:right="124"/>
        <w:rPr>
          <w:lang w:eastAsia="ja-JP"/>
        </w:rPr>
      </w:pPr>
      <w:r>
        <w:rPr>
          <w:w w:val="85"/>
          <w:lang w:eastAsia="ja-JP"/>
        </w:rPr>
        <w:t>前の行で述べたように、プロトコルの設計では、21日目以降の介入後のフォローアップは含まれていませんでしたが、これは私たちが最初から設定した制限でした。パラメータ化されていない観察</w:t>
      </w:r>
      <w:r>
        <w:rPr>
          <w:spacing w:val="-1"/>
          <w:w w:val="85"/>
          <w:lang w:eastAsia="ja-JP"/>
        </w:rPr>
        <w:t>記録</w:t>
      </w:r>
      <w:r>
        <w:rPr>
          <w:w w:val="85"/>
          <w:lang w:eastAsia="ja-JP"/>
        </w:rPr>
        <w:t>として、研究者グループは、</w:t>
      </w:r>
      <w:r>
        <w:rPr>
          <w:w w:val="80"/>
          <w:lang w:eastAsia="ja-JP"/>
        </w:rPr>
        <w:t>発症から約2カ月後まで患者の</w:t>
      </w:r>
      <w:r>
        <w:rPr>
          <w:w w:val="85"/>
          <w:lang w:eastAsia="ja-JP"/>
        </w:rPr>
        <w:t>臨床的なフォローアップを行い、</w:t>
      </w:r>
      <w:r>
        <w:rPr>
          <w:w w:val="80"/>
          <w:lang w:eastAsia="ja-JP"/>
        </w:rPr>
        <w:t>コヴィド後の症状がほとんどなく、満足のいく経過を確認した</w:t>
      </w:r>
      <w:r>
        <w:rPr>
          <w:w w:val="85"/>
          <w:lang w:eastAsia="ja-JP"/>
        </w:rPr>
        <w:t>ことを共有することができます。</w:t>
      </w:r>
      <w:r>
        <w:rPr>
          <w:w w:val="80"/>
          <w:lang w:eastAsia="ja-JP"/>
        </w:rPr>
        <w:t>一部の</w:t>
      </w:r>
      <w:r>
        <w:rPr>
          <w:w w:val="85"/>
          <w:lang w:eastAsia="ja-JP"/>
        </w:rPr>
        <w:t>患者では、軽度の脊椎の違和感や、ある程度の慢性</w:t>
      </w:r>
      <w:r>
        <w:rPr>
          <w:w w:val="90"/>
          <w:lang w:eastAsia="ja-JP"/>
        </w:rPr>
        <w:t>疲労</w:t>
      </w:r>
      <w:r>
        <w:rPr>
          <w:w w:val="85"/>
          <w:lang w:eastAsia="ja-JP"/>
        </w:rPr>
        <w:t>感が認められた。</w:t>
      </w:r>
    </w:p>
    <w:p w14:paraId="0798B397" w14:textId="77777777" w:rsidR="0092721B" w:rsidRDefault="008834D1">
      <w:pPr>
        <w:pStyle w:val="a3"/>
        <w:spacing w:before="1"/>
        <w:ind w:left="0" w:firstLine="0"/>
        <w:jc w:val="left"/>
        <w:rPr>
          <w:lang w:eastAsia="ja-JP"/>
        </w:rPr>
      </w:pPr>
      <w:r>
        <w:pict w14:anchorId="5D6764CA">
          <v:shape id="docshape16" o:spid="_x0000_s1070" alt="" style="position:absolute;margin-left:313.25pt;margin-top:11.6pt;width:253.75pt;height:.1pt;z-index:-15722496;mso-wrap-edited:f;mso-width-percent:0;mso-height-percent:0;mso-wrap-distance-left:0;mso-wrap-distance-right:0;mso-position-horizontal-relative:page;mso-width-percent:0;mso-height-percent:0" coordsize="5075,1270" path="m,l5074,e" filled="f" strokecolor="#49266c" strokeweight="1pt">
            <v:path arrowok="t" o:connecttype="custom" o:connectlocs="0,0;2045963650,0" o:connectangles="0,0"/>
            <w10:wrap type="topAndBottom" anchorx="page"/>
          </v:shape>
        </w:pict>
      </w:r>
    </w:p>
    <w:p w14:paraId="082E6ED1" w14:textId="77777777" w:rsidR="0092721B" w:rsidRDefault="00D22738">
      <w:pPr>
        <w:pStyle w:val="2"/>
        <w:ind w:left="132"/>
        <w:jc w:val="both"/>
        <w:rPr>
          <w:lang w:eastAsia="ja-JP"/>
        </w:rPr>
      </w:pPr>
      <w:r>
        <w:rPr>
          <w:color w:val="49266D"/>
          <w:w w:val="80"/>
          <w:lang w:eastAsia="ja-JP"/>
        </w:rPr>
        <w:t>議論と提言</w:t>
      </w:r>
    </w:p>
    <w:p w14:paraId="785DFBEC" w14:textId="77777777" w:rsidR="0092721B" w:rsidRDefault="00D22738">
      <w:pPr>
        <w:pStyle w:val="a3"/>
        <w:spacing w:before="210" w:line="249" w:lineRule="auto"/>
        <w:ind w:left="132" w:right="124"/>
        <w:rPr>
          <w:lang w:eastAsia="ja-JP"/>
        </w:rPr>
      </w:pPr>
      <w:r>
        <w:rPr>
          <w:w w:val="85"/>
          <w:lang w:eastAsia="ja-JP"/>
        </w:rPr>
        <w:t>本研究では、COVID19</w:t>
      </w:r>
      <w:r>
        <w:rPr>
          <w:color w:val="0D0D0D"/>
          <w:w w:val="85"/>
          <w:lang w:eastAsia="ja-JP"/>
        </w:rPr>
        <w:t>患者</w:t>
      </w:r>
      <w:r>
        <w:rPr>
          <w:w w:val="85"/>
          <w:lang w:eastAsia="ja-JP"/>
        </w:rPr>
        <w:t>に対する二酸化塩素の使用の有効性を検討することを目的とし、実験群</w:t>
      </w:r>
      <w:r>
        <w:rPr>
          <w:color w:val="0D0D0D"/>
          <w:w w:val="85"/>
          <w:lang w:eastAsia="ja-JP"/>
        </w:rPr>
        <w:t>と対照群と</w:t>
      </w:r>
      <w:r>
        <w:rPr>
          <w:w w:val="85"/>
          <w:lang w:eastAsia="ja-JP"/>
        </w:rPr>
        <w:t>の間で、治療前と治療後に、現在の臨床症状と研究で標準化され受け入れられている尺度（VASおよびLikert）に基づく検査変数を測定しました。</w:t>
      </w:r>
    </w:p>
    <w:p w14:paraId="48968F2F" w14:textId="77777777" w:rsidR="0092721B" w:rsidRDefault="00D22738">
      <w:pPr>
        <w:pStyle w:val="a3"/>
        <w:spacing w:before="117" w:line="244" w:lineRule="auto"/>
        <w:ind w:left="132" w:right="124"/>
        <w:rPr>
          <w:lang w:eastAsia="ja-JP"/>
        </w:rPr>
      </w:pPr>
      <w:r>
        <w:rPr>
          <w:w w:val="80"/>
          <w:lang w:eastAsia="ja-JP"/>
        </w:rPr>
        <w:t>二酸化塩素が</w:t>
      </w:r>
      <w:r>
        <w:rPr>
          <w:w w:val="85"/>
          <w:lang w:eastAsia="ja-JP"/>
        </w:rPr>
        <w:t>COVID19の罹患率や死亡率を</w:t>
      </w:r>
      <w:r>
        <w:rPr>
          <w:w w:val="80"/>
          <w:lang w:eastAsia="ja-JP"/>
        </w:rPr>
        <w:t>効果的に</w:t>
      </w:r>
      <w:r>
        <w:rPr>
          <w:w w:val="85"/>
          <w:lang w:eastAsia="ja-JP"/>
        </w:rPr>
        <w:t>減少させる</w:t>
      </w:r>
      <w:r>
        <w:rPr>
          <w:w w:val="80"/>
          <w:lang w:eastAsia="ja-JP"/>
        </w:rPr>
        <w:t>ことができるかという研究課題については、実験群と対照群におけるWilcoxon-Mann-Whitney検定</w:t>
      </w:r>
      <w:r>
        <w:rPr>
          <w:color w:val="0D0D0D"/>
          <w:w w:val="80"/>
          <w:lang w:eastAsia="ja-JP"/>
        </w:rPr>
        <w:t>のU検定</w:t>
      </w:r>
      <w:r>
        <w:rPr>
          <w:w w:val="80"/>
          <w:lang w:eastAsia="ja-JP"/>
        </w:rPr>
        <w:t>（</w:t>
      </w:r>
      <w:r>
        <w:rPr>
          <w:rFonts w:ascii="Courier New" w:hAnsi="Courier New"/>
          <w:w w:val="80"/>
        </w:rPr>
        <w:t>α</w:t>
      </w:r>
      <w:r>
        <w:rPr>
          <w:w w:val="80"/>
          <w:lang w:eastAsia="ja-JP"/>
        </w:rPr>
        <w:t>：95％</w:t>
      </w:r>
      <w:r>
        <w:rPr>
          <w:color w:val="0D0D0D"/>
          <w:w w:val="80"/>
          <w:lang w:eastAsia="ja-JP"/>
        </w:rPr>
        <w:t>）</w:t>
      </w:r>
      <w:r>
        <w:rPr>
          <w:w w:val="80"/>
          <w:lang w:eastAsia="ja-JP"/>
        </w:rPr>
        <w:t>による</w:t>
      </w:r>
      <w:r>
        <w:rPr>
          <w:w w:val="85"/>
          <w:lang w:eastAsia="ja-JP"/>
        </w:rPr>
        <w:t>確認的な有意な</w:t>
      </w:r>
      <w:r>
        <w:rPr>
          <w:w w:val="80"/>
          <w:lang w:eastAsia="ja-JP"/>
        </w:rPr>
        <w:t>統計的検証によりこれが明らかになり、二酸化塩素がcovid19の治療に有効であるという仮説が確認されました。</w:t>
      </w:r>
    </w:p>
    <w:p w14:paraId="52FFE10E" w14:textId="77777777" w:rsidR="0092721B" w:rsidRDefault="00D22738">
      <w:pPr>
        <w:pStyle w:val="a3"/>
        <w:spacing w:before="122" w:line="249" w:lineRule="auto"/>
        <w:ind w:left="132" w:right="124"/>
        <w:rPr>
          <w:lang w:eastAsia="ja-JP"/>
        </w:rPr>
      </w:pPr>
      <w:r>
        <w:rPr>
          <w:w w:val="85"/>
          <w:lang w:eastAsia="ja-JP"/>
        </w:rPr>
        <w:t>今回の第IIa相臨床試験は、</w:t>
      </w:r>
      <w:r>
        <w:rPr>
          <w:w w:val="80"/>
          <w:lang w:eastAsia="ja-JP"/>
        </w:rPr>
        <w:t>400人の患者を対象とした第IIb相二重盲検無作為化試験を</w:t>
      </w:r>
      <w:r>
        <w:rPr>
          <w:w w:val="85"/>
          <w:lang w:eastAsia="ja-JP"/>
        </w:rPr>
        <w:t>実現するための予備段階であり</w:t>
      </w:r>
      <w:r>
        <w:rPr>
          <w:w w:val="80"/>
          <w:lang w:eastAsia="ja-JP"/>
        </w:rPr>
        <w:t>、この目的のためにすでに取り組んでいます。</w:t>
      </w:r>
    </w:p>
    <w:p w14:paraId="3D69ADE7" w14:textId="77777777" w:rsidR="0092721B" w:rsidRDefault="00D22738">
      <w:pPr>
        <w:pStyle w:val="a3"/>
        <w:spacing w:before="116" w:line="249" w:lineRule="auto"/>
        <w:ind w:left="132" w:right="124"/>
        <w:rPr>
          <w:lang w:eastAsia="ja-JP"/>
        </w:rPr>
      </w:pPr>
      <w:r>
        <w:rPr>
          <w:w w:val="85"/>
          <w:lang w:eastAsia="ja-JP"/>
        </w:rPr>
        <w:t>私たちが選んだデザインの主な利点は、臨床試験よりもシンプルで安価に実施できることです</w:t>
      </w:r>
      <w:r>
        <w:rPr>
          <w:w w:val="80"/>
          <w:lang w:eastAsia="ja-JP"/>
        </w:rPr>
        <w:t>（著者は外部からの資金提供を受けておらず</w:t>
      </w:r>
      <w:r>
        <w:rPr>
          <w:w w:val="85"/>
          <w:lang w:eastAsia="ja-JP"/>
        </w:rPr>
        <w:t>、費用</w:t>
      </w:r>
      <w:r>
        <w:rPr>
          <w:w w:val="85"/>
          <w:lang w:eastAsia="ja-JP"/>
        </w:rPr>
        <w:lastRenderedPageBreak/>
        <w:t>は著者が直接かつ個人的に支払っています）。</w:t>
      </w:r>
    </w:p>
    <w:p w14:paraId="1A414C44" w14:textId="77777777" w:rsidR="0092721B" w:rsidRDefault="0092721B">
      <w:pPr>
        <w:spacing w:line="249" w:lineRule="auto"/>
        <w:rPr>
          <w:lang w:eastAsia="ja-JP"/>
        </w:rPr>
        <w:sectPr w:rsidR="0092721B">
          <w:type w:val="continuous"/>
          <w:pgSz w:w="11910" w:h="16840"/>
          <w:pgMar w:top="760" w:right="440" w:bottom="280" w:left="720" w:header="814" w:footer="686" w:gutter="0"/>
          <w:cols w:num="2" w:space="720" w:equalWidth="0">
            <w:col w:w="5246" w:space="166"/>
            <w:col w:w="5338"/>
          </w:cols>
        </w:sectPr>
      </w:pPr>
    </w:p>
    <w:p w14:paraId="56177BE8" w14:textId="77777777" w:rsidR="0092721B" w:rsidRDefault="0092721B">
      <w:pPr>
        <w:pStyle w:val="a3"/>
        <w:spacing w:before="9"/>
        <w:ind w:left="0" w:firstLine="0"/>
        <w:jc w:val="left"/>
        <w:rPr>
          <w:sz w:val="27"/>
          <w:lang w:eastAsia="ja-JP"/>
        </w:rPr>
      </w:pPr>
    </w:p>
    <w:p w14:paraId="5DF95DC1" w14:textId="77777777" w:rsidR="0092721B" w:rsidRDefault="008834D1">
      <w:pPr>
        <w:spacing w:before="109" w:line="230" w:lineRule="auto"/>
        <w:ind w:left="130" w:right="103"/>
        <w:rPr>
          <w:sz w:val="16"/>
          <w:lang w:eastAsia="ja-JP"/>
        </w:rPr>
      </w:pPr>
      <w:r>
        <w:pict w14:anchorId="28BF9358">
          <v:group id="docshapegroup17" o:spid="_x0000_s1067" alt="" style="position:absolute;left:0;text-align:left;margin-left:108.7pt;margin-top:130.35pt;width:131pt;height:.3pt;z-index:-16260096;mso-position-horizontal-relative:page" coordorigin="2174,2607" coordsize="2620,6">
            <v:line id="_x0000_s1068" alt="" style="position:absolute" from="2174,2610" to="3483,2610" strokecolor="#939598" strokeweight=".3pt"/>
            <v:line id="_x0000_s1069" alt="" style="position:absolute" from="3483,2610" to="4793,2610" strokecolor="#939598" strokeweight=".3pt"/>
            <w10:wrap anchorx="page"/>
          </v:group>
        </w:pict>
      </w:r>
      <w:r>
        <w:pict w14:anchorId="69FFDCDB">
          <v:group id="docshapegroup18" o:spid="_x0000_s1064" alt="" style="position:absolute;left:0;text-align:left;margin-left:108.7pt;margin-top:107.35pt;width:131pt;height:.3pt;z-index:-16259584;mso-position-horizontal-relative:page" coordorigin="2174,2147" coordsize="2620,6">
            <v:line id="_x0000_s1065" alt="" style="position:absolute" from="2174,2150" to="3483,2150" strokecolor="#939598" strokeweight=".3pt"/>
            <v:line id="_x0000_s1066" alt="" style="position:absolute" from="3483,2150" to="4793,2150" strokecolor="#939598" strokeweight=".3pt"/>
            <w10:wrap anchorx="page"/>
          </v:group>
        </w:pict>
      </w:r>
      <w:r>
        <w:pict w14:anchorId="06D4E52D">
          <v:group id="docshapegroup19" o:spid="_x0000_s1061" alt="" style="position:absolute;left:0;text-align:left;margin-left:108.7pt;margin-top:84.35pt;width:131pt;height:.3pt;z-index:-16259072;mso-position-horizontal-relative:page" coordorigin="2174,1687" coordsize="2620,6">
            <v:line id="_x0000_s1062" alt="" style="position:absolute" from="2174,1690" to="3483,1690" strokecolor="#939598" strokeweight=".3pt"/>
            <v:line id="_x0000_s1063" alt="" style="position:absolute" from="3483,1690" to="4793,1690" strokecolor="#939598" strokeweight=".3pt"/>
            <w10:wrap anchorx="page"/>
          </v:group>
        </w:pict>
      </w:r>
      <w:r>
        <w:pict w14:anchorId="3A99FA8C">
          <v:group id="docshapegroup20" o:spid="_x0000_s1058" alt="" style="position:absolute;left:0;text-align:left;margin-left:108.7pt;margin-top:61.35pt;width:131pt;height:.3pt;z-index:-16258560;mso-position-horizontal-relative:page" coordorigin="2174,1227" coordsize="2620,6">
            <v:line id="_x0000_s1059" alt="" style="position:absolute" from="2174,1230" to="3483,1230" strokecolor="#939598" strokeweight=".3pt"/>
            <v:line id="_x0000_s1060" alt="" style="position:absolute" from="3483,1230" to="4793,1230" strokecolor="#939598" strokeweight=".3pt"/>
            <w10:wrap anchorx="page"/>
          </v:group>
        </w:pict>
      </w:r>
      <w:r w:rsidR="00D22738">
        <w:rPr>
          <w:b/>
          <w:w w:val="85"/>
          <w:sz w:val="16"/>
          <w:lang w:eastAsia="ja-JP"/>
        </w:rPr>
        <w:t>表1．</w:t>
      </w:r>
      <w:r w:rsidR="00D22738">
        <w:rPr>
          <w:w w:val="85"/>
          <w:sz w:val="16"/>
          <w:lang w:eastAsia="ja-JP"/>
        </w:rPr>
        <w:t>全身</w:t>
      </w:r>
      <w:r w:rsidR="00D22738">
        <w:rPr>
          <w:w w:val="90"/>
          <w:sz w:val="16"/>
          <w:lang w:eastAsia="ja-JP"/>
        </w:rPr>
        <w:t>症状</w:t>
      </w:r>
      <w:r w:rsidR="00D22738">
        <w:rPr>
          <w:w w:val="85"/>
          <w:sz w:val="16"/>
          <w:lang w:eastAsia="ja-JP"/>
        </w:rPr>
        <w:t>について、対照群と実験群を</w:t>
      </w:r>
      <w:r w:rsidR="00D22738">
        <w:rPr>
          <w:color w:val="0D0D0D"/>
          <w:w w:val="85"/>
          <w:sz w:val="16"/>
          <w:lang w:eastAsia="ja-JP"/>
        </w:rPr>
        <w:t>比率比較検定で</w:t>
      </w:r>
      <w:r w:rsidR="00D22738">
        <w:rPr>
          <w:w w:val="85"/>
          <w:sz w:val="16"/>
          <w:lang w:eastAsia="ja-JP"/>
        </w:rPr>
        <w:t>比較した結果</w:t>
      </w:r>
      <w:r w:rsidR="00D22738">
        <w:rPr>
          <w:color w:val="0D0D0D"/>
          <w:w w:val="85"/>
          <w:sz w:val="16"/>
          <w:lang w:eastAsia="ja-JP"/>
        </w:rPr>
        <w:t>とその信頼区間</w:t>
      </w:r>
      <w:r w:rsidR="00D22738">
        <w:rPr>
          <w:w w:val="85"/>
          <w:sz w:val="16"/>
          <w:lang w:eastAsia="ja-JP"/>
        </w:rPr>
        <w:t>。</w:t>
      </w:r>
    </w:p>
    <w:p w14:paraId="428E9339" w14:textId="77777777" w:rsidR="0092721B" w:rsidRDefault="0092721B">
      <w:pPr>
        <w:pStyle w:val="a3"/>
        <w:ind w:left="0" w:firstLine="0"/>
        <w:jc w:val="left"/>
        <w:rPr>
          <w:sz w:val="7"/>
          <w:lang w:eastAsia="ja-JP"/>
        </w:rPr>
      </w:pPr>
    </w:p>
    <w:tbl>
      <w:tblPr>
        <w:tblStyle w:val="TableNormal"/>
        <w:tblW w:w="0" w:type="auto"/>
        <w:tblInd w:w="136" w:type="dxa"/>
        <w:tblLayout w:type="fixed"/>
        <w:tblLook w:val="01E0" w:firstRow="1" w:lastRow="1" w:firstColumn="1" w:lastColumn="1" w:noHBand="0" w:noVBand="0"/>
      </w:tblPr>
      <w:tblGrid>
        <w:gridCol w:w="1486"/>
        <w:gridCol w:w="1096"/>
        <w:gridCol w:w="1414"/>
        <w:gridCol w:w="1209"/>
        <w:gridCol w:w="1411"/>
        <w:gridCol w:w="1209"/>
        <w:gridCol w:w="1411"/>
        <w:gridCol w:w="1258"/>
      </w:tblGrid>
      <w:tr w:rsidR="0092721B" w14:paraId="6EF145BC" w14:textId="77777777">
        <w:trPr>
          <w:trHeight w:val="445"/>
        </w:trPr>
        <w:tc>
          <w:tcPr>
            <w:tcW w:w="1486" w:type="dxa"/>
            <w:tcBorders>
              <w:top w:val="single" w:sz="4" w:space="0" w:color="939598"/>
              <w:bottom w:val="single" w:sz="4" w:space="0" w:color="939598"/>
            </w:tcBorders>
          </w:tcPr>
          <w:p w14:paraId="72B2D0F0" w14:textId="77777777" w:rsidR="0092721B" w:rsidRDefault="00D22738">
            <w:pPr>
              <w:pStyle w:val="TableParagraph"/>
              <w:spacing w:before="147"/>
              <w:ind w:left="138" w:right="282"/>
              <w:rPr>
                <w:b/>
                <w:sz w:val="16"/>
              </w:rPr>
            </w:pPr>
            <w:r>
              <w:rPr>
                <w:b/>
                <w:w w:val="90"/>
                <w:sz w:val="16"/>
              </w:rPr>
              <w:t>シントム</w:t>
            </w:r>
          </w:p>
        </w:tc>
        <w:tc>
          <w:tcPr>
            <w:tcW w:w="1096" w:type="dxa"/>
            <w:tcBorders>
              <w:top w:val="single" w:sz="4" w:space="0" w:color="939598"/>
              <w:bottom w:val="single" w:sz="4" w:space="0" w:color="939598"/>
            </w:tcBorders>
          </w:tcPr>
          <w:p w14:paraId="51068238" w14:textId="77777777" w:rsidR="0092721B" w:rsidRDefault="00D22738">
            <w:pPr>
              <w:pStyle w:val="TableParagraph"/>
              <w:spacing w:before="147"/>
              <w:ind w:left="296"/>
              <w:jc w:val="left"/>
              <w:rPr>
                <w:b/>
                <w:sz w:val="16"/>
              </w:rPr>
            </w:pPr>
            <w:r>
              <w:rPr>
                <w:b/>
                <w:w w:val="90"/>
                <w:sz w:val="16"/>
              </w:rPr>
              <w:t>グループ</w:t>
            </w:r>
          </w:p>
        </w:tc>
        <w:tc>
          <w:tcPr>
            <w:tcW w:w="2623" w:type="dxa"/>
            <w:gridSpan w:val="2"/>
            <w:tcBorders>
              <w:top w:val="single" w:sz="4" w:space="0" w:color="939598"/>
              <w:bottom w:val="single" w:sz="4" w:space="0" w:color="939598"/>
            </w:tcBorders>
          </w:tcPr>
          <w:p w14:paraId="01BE8214" w14:textId="77777777" w:rsidR="0092721B" w:rsidRDefault="00D22738">
            <w:pPr>
              <w:pStyle w:val="TableParagraph"/>
              <w:spacing w:before="51"/>
              <w:ind w:left="896" w:right="795"/>
              <w:rPr>
                <w:b/>
                <w:sz w:val="16"/>
              </w:rPr>
            </w:pPr>
            <w:r>
              <w:rPr>
                <w:b/>
                <w:w w:val="80"/>
                <w:sz w:val="16"/>
              </w:rPr>
              <w:t>0日目</w:t>
            </w:r>
          </w:p>
          <w:p w14:paraId="0490E3AE" w14:textId="77777777" w:rsidR="0092721B" w:rsidRDefault="00D22738">
            <w:pPr>
              <w:pStyle w:val="TableParagraph"/>
              <w:spacing w:before="8" w:line="182" w:lineRule="exact"/>
              <w:ind w:left="896" w:right="795"/>
              <w:rPr>
                <w:b/>
                <w:sz w:val="16"/>
              </w:rPr>
            </w:pPr>
            <w:r>
              <w:rPr>
                <w:b/>
                <w:w w:val="80"/>
                <w:sz w:val="16"/>
              </w:rPr>
              <w:t>n（％）｜</w:t>
            </w:r>
            <w:r>
              <w:rPr>
                <w:rFonts w:ascii="Arial-BoldItalicMT"/>
                <w:b/>
                <w:i/>
                <w:w w:val="80"/>
                <w:sz w:val="16"/>
              </w:rPr>
              <w:t>P</w:t>
            </w:r>
            <w:r>
              <w:rPr>
                <w:b/>
                <w:w w:val="80"/>
                <w:sz w:val="16"/>
              </w:rPr>
              <w:t>値</w:t>
            </w:r>
          </w:p>
        </w:tc>
        <w:tc>
          <w:tcPr>
            <w:tcW w:w="2620" w:type="dxa"/>
            <w:gridSpan w:val="2"/>
            <w:tcBorders>
              <w:top w:val="single" w:sz="4" w:space="0" w:color="939598"/>
              <w:bottom w:val="single" w:sz="4" w:space="0" w:color="939598"/>
            </w:tcBorders>
          </w:tcPr>
          <w:p w14:paraId="457B3659" w14:textId="77777777" w:rsidR="0092721B" w:rsidRDefault="00D22738">
            <w:pPr>
              <w:pStyle w:val="TableParagraph"/>
              <w:spacing w:before="51"/>
              <w:ind w:left="893" w:right="796"/>
              <w:rPr>
                <w:b/>
                <w:sz w:val="16"/>
              </w:rPr>
            </w:pPr>
            <w:r>
              <w:rPr>
                <w:b/>
                <w:w w:val="80"/>
                <w:sz w:val="16"/>
              </w:rPr>
              <w:t>7日目</w:t>
            </w:r>
          </w:p>
          <w:p w14:paraId="22E0BE47" w14:textId="77777777" w:rsidR="0092721B" w:rsidRDefault="00D22738">
            <w:pPr>
              <w:pStyle w:val="TableParagraph"/>
              <w:spacing w:before="8" w:line="182" w:lineRule="exact"/>
              <w:ind w:left="893" w:right="796"/>
              <w:rPr>
                <w:b/>
                <w:sz w:val="16"/>
              </w:rPr>
            </w:pPr>
            <w:r>
              <w:rPr>
                <w:b/>
                <w:w w:val="80"/>
                <w:sz w:val="16"/>
              </w:rPr>
              <w:t>n（％）｜</w:t>
            </w:r>
            <w:r>
              <w:rPr>
                <w:rFonts w:ascii="Arial-BoldItalicMT"/>
                <w:b/>
                <w:i/>
                <w:w w:val="80"/>
                <w:sz w:val="16"/>
              </w:rPr>
              <w:t>P</w:t>
            </w:r>
            <w:r>
              <w:rPr>
                <w:b/>
                <w:w w:val="80"/>
                <w:sz w:val="16"/>
              </w:rPr>
              <w:t>値</w:t>
            </w:r>
          </w:p>
        </w:tc>
        <w:tc>
          <w:tcPr>
            <w:tcW w:w="2669" w:type="dxa"/>
            <w:gridSpan w:val="2"/>
            <w:tcBorders>
              <w:top w:val="single" w:sz="4" w:space="0" w:color="939598"/>
              <w:bottom w:val="single" w:sz="4" w:space="0" w:color="939598"/>
            </w:tcBorders>
          </w:tcPr>
          <w:p w14:paraId="22F07F10" w14:textId="77777777" w:rsidR="0092721B" w:rsidRDefault="00D22738">
            <w:pPr>
              <w:pStyle w:val="TableParagraph"/>
              <w:spacing w:before="51"/>
              <w:ind w:left="892" w:right="845"/>
              <w:rPr>
                <w:b/>
                <w:sz w:val="16"/>
              </w:rPr>
            </w:pPr>
            <w:r>
              <w:rPr>
                <w:b/>
                <w:w w:val="80"/>
                <w:sz w:val="16"/>
              </w:rPr>
              <w:t>14日目</w:t>
            </w:r>
          </w:p>
          <w:p w14:paraId="7F475769" w14:textId="77777777" w:rsidR="0092721B" w:rsidRDefault="00D22738">
            <w:pPr>
              <w:pStyle w:val="TableParagraph"/>
              <w:spacing w:before="8" w:line="182" w:lineRule="exact"/>
              <w:ind w:left="892" w:right="845"/>
              <w:rPr>
                <w:b/>
                <w:sz w:val="16"/>
              </w:rPr>
            </w:pPr>
            <w:r>
              <w:rPr>
                <w:b/>
                <w:w w:val="80"/>
                <w:sz w:val="16"/>
              </w:rPr>
              <w:t>n（％）｜</w:t>
            </w:r>
            <w:r>
              <w:rPr>
                <w:rFonts w:ascii="Arial-BoldItalicMT"/>
                <w:b/>
                <w:i/>
                <w:w w:val="80"/>
                <w:sz w:val="16"/>
              </w:rPr>
              <w:t>P</w:t>
            </w:r>
            <w:r>
              <w:rPr>
                <w:b/>
                <w:w w:val="80"/>
                <w:sz w:val="16"/>
              </w:rPr>
              <w:t>値</w:t>
            </w:r>
          </w:p>
        </w:tc>
      </w:tr>
      <w:tr w:rsidR="0092721B" w14:paraId="51B03FF7" w14:textId="77777777">
        <w:trPr>
          <w:trHeight w:val="449"/>
        </w:trPr>
        <w:tc>
          <w:tcPr>
            <w:tcW w:w="1486" w:type="dxa"/>
            <w:tcBorders>
              <w:top w:val="single" w:sz="4" w:space="0" w:color="939598"/>
              <w:bottom w:val="single" w:sz="4" w:space="0" w:color="939598"/>
            </w:tcBorders>
          </w:tcPr>
          <w:p w14:paraId="390D4165" w14:textId="77777777" w:rsidR="0092721B" w:rsidRDefault="00D22738">
            <w:pPr>
              <w:pStyle w:val="TableParagraph"/>
              <w:spacing w:before="133"/>
              <w:ind w:left="138" w:right="282"/>
              <w:rPr>
                <w:sz w:val="16"/>
              </w:rPr>
            </w:pPr>
            <w:r>
              <w:rPr>
                <w:w w:val="90"/>
                <w:sz w:val="16"/>
              </w:rPr>
              <w:t>フィーバー</w:t>
            </w:r>
          </w:p>
        </w:tc>
        <w:tc>
          <w:tcPr>
            <w:tcW w:w="1096" w:type="dxa"/>
            <w:tcBorders>
              <w:top w:val="single" w:sz="4" w:space="0" w:color="939598"/>
              <w:bottom w:val="single" w:sz="4" w:space="0" w:color="939598"/>
            </w:tcBorders>
          </w:tcPr>
          <w:p w14:paraId="4C92A285" w14:textId="77777777" w:rsidR="0092721B" w:rsidRDefault="00D22738">
            <w:pPr>
              <w:pStyle w:val="TableParagraph"/>
              <w:ind w:left="348" w:right="454"/>
              <w:rPr>
                <w:sz w:val="16"/>
              </w:rPr>
            </w:pPr>
            <w:r>
              <w:rPr>
                <w:w w:val="90"/>
                <w:sz w:val="16"/>
              </w:rPr>
              <w:t>Ctrl</w:t>
            </w:r>
          </w:p>
          <w:p w14:paraId="3071B88F" w14:textId="77777777" w:rsidR="0092721B" w:rsidRDefault="00D22738">
            <w:pPr>
              <w:pStyle w:val="TableParagraph"/>
              <w:spacing w:before="46" w:line="182" w:lineRule="exact"/>
              <w:ind w:left="349" w:right="454"/>
              <w:rPr>
                <w:sz w:val="16"/>
              </w:rPr>
            </w:pPr>
            <w:r>
              <w:rPr>
                <w:w w:val="90"/>
                <w:sz w:val="16"/>
              </w:rPr>
              <w:t>Exp</w:t>
            </w:r>
          </w:p>
        </w:tc>
        <w:tc>
          <w:tcPr>
            <w:tcW w:w="1414" w:type="dxa"/>
            <w:tcBorders>
              <w:top w:val="single" w:sz="4" w:space="0" w:color="939598"/>
              <w:bottom w:val="single" w:sz="4" w:space="0" w:color="939598"/>
            </w:tcBorders>
          </w:tcPr>
          <w:p w14:paraId="15C2238A" w14:textId="77777777" w:rsidR="0092721B" w:rsidRDefault="00D22738">
            <w:pPr>
              <w:pStyle w:val="TableParagraph"/>
              <w:ind w:left="441"/>
              <w:jc w:val="left"/>
              <w:rPr>
                <w:sz w:val="16"/>
              </w:rPr>
            </w:pPr>
            <w:r>
              <w:rPr>
                <w:w w:val="80"/>
                <w:sz w:val="16"/>
              </w:rPr>
              <w:t>18 (90%)</w:t>
            </w:r>
          </w:p>
          <w:p w14:paraId="53DA1396" w14:textId="77777777" w:rsidR="0092721B" w:rsidRDefault="00D22738">
            <w:pPr>
              <w:pStyle w:val="TableParagraph"/>
              <w:spacing w:before="46" w:line="182" w:lineRule="exact"/>
              <w:ind w:left="441"/>
              <w:jc w:val="left"/>
              <w:rPr>
                <w:sz w:val="16"/>
              </w:rPr>
            </w:pPr>
            <w:r>
              <w:rPr>
                <w:w w:val="80"/>
                <w:sz w:val="16"/>
              </w:rPr>
              <w:t>17 (85%)</w:t>
            </w:r>
          </w:p>
        </w:tc>
        <w:tc>
          <w:tcPr>
            <w:tcW w:w="1209" w:type="dxa"/>
            <w:tcBorders>
              <w:top w:val="single" w:sz="4" w:space="0" w:color="939598"/>
              <w:bottom w:val="single" w:sz="4" w:space="0" w:color="939598"/>
            </w:tcBorders>
          </w:tcPr>
          <w:p w14:paraId="702E5302" w14:textId="77777777" w:rsidR="0092721B" w:rsidRDefault="00D22738">
            <w:pPr>
              <w:pStyle w:val="TableParagraph"/>
              <w:spacing w:before="133"/>
              <w:ind w:left="363" w:right="363"/>
              <w:rPr>
                <w:sz w:val="16"/>
              </w:rPr>
            </w:pPr>
            <w:r>
              <w:rPr>
                <w:w w:val="90"/>
                <w:sz w:val="16"/>
              </w:rPr>
              <w:t>0,3160</w:t>
            </w:r>
          </w:p>
        </w:tc>
        <w:tc>
          <w:tcPr>
            <w:tcW w:w="1411" w:type="dxa"/>
            <w:tcBorders>
              <w:top w:val="single" w:sz="4" w:space="0" w:color="939598"/>
              <w:bottom w:val="single" w:sz="4" w:space="0" w:color="939598"/>
            </w:tcBorders>
          </w:tcPr>
          <w:p w14:paraId="3C3354AF" w14:textId="77777777" w:rsidR="0092721B" w:rsidRDefault="00D22738">
            <w:pPr>
              <w:pStyle w:val="TableParagraph"/>
              <w:tabs>
                <w:tab w:val="left" w:pos="389"/>
                <w:tab w:val="left" w:pos="1309"/>
              </w:tabs>
              <w:ind w:right="1"/>
              <w:rPr>
                <w:sz w:val="16"/>
              </w:rPr>
            </w:pPr>
            <w:r>
              <w:rPr>
                <w:sz w:val="16"/>
                <w:u w:val="single" w:color="939598"/>
              </w:rPr>
              <w:tab/>
            </w:r>
            <w:r>
              <w:rPr>
                <w:w w:val="80"/>
                <w:sz w:val="16"/>
                <w:u w:val="single" w:color="939598"/>
              </w:rPr>
              <w:t>14 (70%)</w:t>
            </w:r>
            <w:r>
              <w:rPr>
                <w:sz w:val="16"/>
                <w:u w:val="single" w:color="939598"/>
              </w:rPr>
              <w:tab/>
            </w:r>
          </w:p>
          <w:p w14:paraId="18449937" w14:textId="77777777" w:rsidR="0092721B" w:rsidRDefault="00D22738">
            <w:pPr>
              <w:pStyle w:val="TableParagraph"/>
              <w:spacing w:before="46" w:line="182" w:lineRule="exact"/>
              <w:rPr>
                <w:sz w:val="16"/>
              </w:rPr>
            </w:pPr>
            <w:r>
              <w:rPr>
                <w:w w:val="80"/>
                <w:sz w:val="16"/>
              </w:rPr>
              <w:t>0 (0%)</w:t>
            </w:r>
          </w:p>
        </w:tc>
        <w:tc>
          <w:tcPr>
            <w:tcW w:w="1209" w:type="dxa"/>
            <w:tcBorders>
              <w:top w:val="single" w:sz="4" w:space="0" w:color="939598"/>
              <w:bottom w:val="single" w:sz="4" w:space="0" w:color="939598"/>
            </w:tcBorders>
          </w:tcPr>
          <w:p w14:paraId="1AB68C14" w14:textId="77777777" w:rsidR="0092721B" w:rsidRDefault="00D22738">
            <w:pPr>
              <w:pStyle w:val="TableParagraph"/>
              <w:spacing w:before="133"/>
              <w:ind w:left="363" w:right="363"/>
              <w:rPr>
                <w:sz w:val="16"/>
              </w:rPr>
            </w:pPr>
            <w:r>
              <w:rPr>
                <w:w w:val="90"/>
                <w:sz w:val="16"/>
              </w:rPr>
              <w:t>0,0000</w:t>
            </w:r>
          </w:p>
        </w:tc>
        <w:tc>
          <w:tcPr>
            <w:tcW w:w="1411" w:type="dxa"/>
            <w:tcBorders>
              <w:top w:val="single" w:sz="4" w:space="0" w:color="939598"/>
              <w:bottom w:val="single" w:sz="4" w:space="0" w:color="939598"/>
            </w:tcBorders>
          </w:tcPr>
          <w:p w14:paraId="68289E79" w14:textId="77777777" w:rsidR="0092721B" w:rsidRDefault="00D22738">
            <w:pPr>
              <w:pStyle w:val="TableParagraph"/>
              <w:tabs>
                <w:tab w:val="left" w:pos="389"/>
                <w:tab w:val="left" w:pos="1309"/>
              </w:tabs>
              <w:ind w:right="2"/>
              <w:rPr>
                <w:sz w:val="16"/>
              </w:rPr>
            </w:pPr>
            <w:r>
              <w:rPr>
                <w:sz w:val="16"/>
                <w:u w:val="single" w:color="939598"/>
              </w:rPr>
              <w:tab/>
            </w:r>
            <w:r>
              <w:rPr>
                <w:w w:val="80"/>
                <w:sz w:val="16"/>
                <w:u w:val="single" w:color="939598"/>
              </w:rPr>
              <w:t>12 (60%)</w:t>
            </w:r>
            <w:r>
              <w:rPr>
                <w:sz w:val="16"/>
                <w:u w:val="single" w:color="939598"/>
              </w:rPr>
              <w:tab/>
            </w:r>
          </w:p>
          <w:p w14:paraId="79548589" w14:textId="77777777" w:rsidR="0092721B" w:rsidRDefault="00D22738">
            <w:pPr>
              <w:pStyle w:val="TableParagraph"/>
              <w:spacing w:before="46" w:line="182" w:lineRule="exact"/>
              <w:ind w:right="1"/>
              <w:rPr>
                <w:sz w:val="16"/>
              </w:rPr>
            </w:pPr>
            <w:r>
              <w:rPr>
                <w:w w:val="80"/>
                <w:sz w:val="16"/>
              </w:rPr>
              <w:t>0 (0%)</w:t>
            </w:r>
          </w:p>
        </w:tc>
        <w:tc>
          <w:tcPr>
            <w:tcW w:w="1258" w:type="dxa"/>
            <w:tcBorders>
              <w:top w:val="single" w:sz="4" w:space="0" w:color="939598"/>
              <w:bottom w:val="single" w:sz="4" w:space="0" w:color="939598"/>
            </w:tcBorders>
          </w:tcPr>
          <w:p w14:paraId="3A93C318" w14:textId="77777777" w:rsidR="0092721B" w:rsidRDefault="00D22738">
            <w:pPr>
              <w:pStyle w:val="TableParagraph"/>
              <w:spacing w:before="133"/>
              <w:ind w:left="362" w:right="412"/>
              <w:rPr>
                <w:sz w:val="16"/>
              </w:rPr>
            </w:pPr>
            <w:r>
              <w:rPr>
                <w:w w:val="90"/>
                <w:sz w:val="16"/>
              </w:rPr>
              <w:t>0,0000</w:t>
            </w:r>
          </w:p>
        </w:tc>
      </w:tr>
      <w:tr w:rsidR="0092721B" w14:paraId="6D753016" w14:textId="77777777">
        <w:trPr>
          <w:trHeight w:val="449"/>
        </w:trPr>
        <w:tc>
          <w:tcPr>
            <w:tcW w:w="1486" w:type="dxa"/>
            <w:tcBorders>
              <w:top w:val="single" w:sz="4" w:space="0" w:color="939598"/>
              <w:bottom w:val="single" w:sz="4" w:space="0" w:color="939598"/>
            </w:tcBorders>
          </w:tcPr>
          <w:p w14:paraId="7192D52C" w14:textId="77777777" w:rsidR="0092721B" w:rsidRDefault="00D22738">
            <w:pPr>
              <w:pStyle w:val="TableParagraph"/>
              <w:spacing w:before="133"/>
              <w:ind w:left="139" w:right="282"/>
              <w:rPr>
                <w:sz w:val="16"/>
              </w:rPr>
            </w:pPr>
            <w:r>
              <w:rPr>
                <w:w w:val="90"/>
                <w:sz w:val="16"/>
              </w:rPr>
              <w:t>咳</w:t>
            </w:r>
          </w:p>
        </w:tc>
        <w:tc>
          <w:tcPr>
            <w:tcW w:w="1096" w:type="dxa"/>
            <w:tcBorders>
              <w:top w:val="single" w:sz="4" w:space="0" w:color="939598"/>
              <w:bottom w:val="single" w:sz="4" w:space="0" w:color="939598"/>
            </w:tcBorders>
          </w:tcPr>
          <w:p w14:paraId="2908EF26" w14:textId="77777777" w:rsidR="0092721B" w:rsidRDefault="00D22738">
            <w:pPr>
              <w:pStyle w:val="TableParagraph"/>
              <w:ind w:left="349" w:right="454"/>
              <w:rPr>
                <w:sz w:val="16"/>
              </w:rPr>
            </w:pPr>
            <w:r>
              <w:rPr>
                <w:w w:val="90"/>
                <w:sz w:val="16"/>
              </w:rPr>
              <w:t>Ctrl</w:t>
            </w:r>
          </w:p>
          <w:p w14:paraId="56CB4983" w14:textId="77777777" w:rsidR="0092721B" w:rsidRDefault="00D22738">
            <w:pPr>
              <w:pStyle w:val="TableParagraph"/>
              <w:spacing w:before="46" w:line="182" w:lineRule="exact"/>
              <w:ind w:left="349" w:right="454"/>
              <w:rPr>
                <w:sz w:val="16"/>
              </w:rPr>
            </w:pPr>
            <w:r>
              <w:rPr>
                <w:w w:val="90"/>
                <w:sz w:val="16"/>
              </w:rPr>
              <w:t>Exp</w:t>
            </w:r>
          </w:p>
        </w:tc>
        <w:tc>
          <w:tcPr>
            <w:tcW w:w="1414" w:type="dxa"/>
            <w:tcBorders>
              <w:top w:val="single" w:sz="4" w:space="0" w:color="939598"/>
              <w:bottom w:val="single" w:sz="4" w:space="0" w:color="939598"/>
            </w:tcBorders>
          </w:tcPr>
          <w:p w14:paraId="4FD01615" w14:textId="77777777" w:rsidR="0092721B" w:rsidRDefault="00D22738">
            <w:pPr>
              <w:pStyle w:val="TableParagraph"/>
              <w:ind w:left="405"/>
              <w:jc w:val="left"/>
              <w:rPr>
                <w:sz w:val="16"/>
              </w:rPr>
            </w:pPr>
            <w:r>
              <w:rPr>
                <w:w w:val="80"/>
                <w:sz w:val="16"/>
              </w:rPr>
              <w:t>20 (100%)</w:t>
            </w:r>
          </w:p>
          <w:p w14:paraId="7CEC0841" w14:textId="77777777" w:rsidR="0092721B" w:rsidRDefault="00D22738">
            <w:pPr>
              <w:pStyle w:val="TableParagraph"/>
              <w:spacing w:before="46" w:line="182" w:lineRule="exact"/>
              <w:ind w:left="442"/>
              <w:jc w:val="left"/>
              <w:rPr>
                <w:sz w:val="16"/>
              </w:rPr>
            </w:pPr>
            <w:r>
              <w:rPr>
                <w:w w:val="80"/>
                <w:sz w:val="16"/>
              </w:rPr>
              <w:t>18 (90%)</w:t>
            </w:r>
          </w:p>
        </w:tc>
        <w:tc>
          <w:tcPr>
            <w:tcW w:w="1209" w:type="dxa"/>
            <w:tcBorders>
              <w:top w:val="single" w:sz="4" w:space="0" w:color="939598"/>
              <w:bottom w:val="single" w:sz="4" w:space="0" w:color="939598"/>
            </w:tcBorders>
          </w:tcPr>
          <w:p w14:paraId="0605A3A6" w14:textId="77777777" w:rsidR="0092721B" w:rsidRDefault="00D22738">
            <w:pPr>
              <w:pStyle w:val="TableParagraph"/>
              <w:spacing w:before="133"/>
              <w:ind w:left="362" w:right="363"/>
              <w:rPr>
                <w:sz w:val="16"/>
              </w:rPr>
            </w:pPr>
            <w:r>
              <w:rPr>
                <w:w w:val="90"/>
                <w:sz w:val="16"/>
              </w:rPr>
              <w:t>0,0680</w:t>
            </w:r>
          </w:p>
        </w:tc>
        <w:tc>
          <w:tcPr>
            <w:tcW w:w="1411" w:type="dxa"/>
            <w:tcBorders>
              <w:top w:val="single" w:sz="4" w:space="0" w:color="939598"/>
              <w:bottom w:val="single" w:sz="4" w:space="0" w:color="939598"/>
            </w:tcBorders>
          </w:tcPr>
          <w:p w14:paraId="2163B880" w14:textId="77777777" w:rsidR="0092721B" w:rsidRDefault="00D22738">
            <w:pPr>
              <w:pStyle w:val="TableParagraph"/>
              <w:tabs>
                <w:tab w:val="left" w:pos="389"/>
                <w:tab w:val="left" w:pos="1309"/>
              </w:tabs>
              <w:ind w:right="1"/>
              <w:rPr>
                <w:sz w:val="16"/>
              </w:rPr>
            </w:pPr>
            <w:r>
              <w:rPr>
                <w:sz w:val="16"/>
                <w:u w:val="single" w:color="939598"/>
              </w:rPr>
              <w:tab/>
            </w:r>
            <w:r>
              <w:rPr>
                <w:w w:val="80"/>
                <w:sz w:val="16"/>
                <w:u w:val="single" w:color="939598"/>
              </w:rPr>
              <w:t>18 (90%)</w:t>
            </w:r>
            <w:r>
              <w:rPr>
                <w:sz w:val="16"/>
                <w:u w:val="single" w:color="939598"/>
              </w:rPr>
              <w:tab/>
            </w:r>
          </w:p>
          <w:p w14:paraId="09A9CBE3" w14:textId="77777777" w:rsidR="0092721B" w:rsidRDefault="00D22738">
            <w:pPr>
              <w:pStyle w:val="TableParagraph"/>
              <w:spacing w:before="46" w:line="182" w:lineRule="exact"/>
              <w:ind w:right="1"/>
              <w:rPr>
                <w:sz w:val="16"/>
              </w:rPr>
            </w:pPr>
            <w:r>
              <w:rPr>
                <w:w w:val="80"/>
                <w:sz w:val="16"/>
              </w:rPr>
              <w:t>6 (30%)</w:t>
            </w:r>
          </w:p>
        </w:tc>
        <w:tc>
          <w:tcPr>
            <w:tcW w:w="1209" w:type="dxa"/>
            <w:tcBorders>
              <w:top w:val="single" w:sz="4" w:space="0" w:color="939598"/>
              <w:bottom w:val="single" w:sz="4" w:space="0" w:color="939598"/>
            </w:tcBorders>
          </w:tcPr>
          <w:p w14:paraId="51FF7E95" w14:textId="77777777" w:rsidR="0092721B" w:rsidRDefault="00D22738">
            <w:pPr>
              <w:pStyle w:val="TableParagraph"/>
              <w:spacing w:before="133"/>
              <w:ind w:left="363" w:right="363"/>
              <w:rPr>
                <w:sz w:val="16"/>
              </w:rPr>
            </w:pPr>
            <w:r>
              <w:rPr>
                <w:w w:val="90"/>
                <w:sz w:val="16"/>
              </w:rPr>
              <w:t>0,0000</w:t>
            </w:r>
          </w:p>
        </w:tc>
        <w:tc>
          <w:tcPr>
            <w:tcW w:w="1411" w:type="dxa"/>
            <w:tcBorders>
              <w:top w:val="single" w:sz="4" w:space="0" w:color="939598"/>
              <w:bottom w:val="single" w:sz="4" w:space="0" w:color="939598"/>
            </w:tcBorders>
          </w:tcPr>
          <w:p w14:paraId="51A80008" w14:textId="77777777" w:rsidR="0092721B" w:rsidRDefault="00D22738">
            <w:pPr>
              <w:pStyle w:val="TableParagraph"/>
              <w:tabs>
                <w:tab w:val="left" w:pos="389"/>
                <w:tab w:val="left" w:pos="1309"/>
              </w:tabs>
              <w:ind w:right="2"/>
              <w:rPr>
                <w:sz w:val="16"/>
              </w:rPr>
            </w:pPr>
            <w:r>
              <w:rPr>
                <w:sz w:val="16"/>
                <w:u w:val="single" w:color="939598"/>
              </w:rPr>
              <w:tab/>
            </w:r>
            <w:r>
              <w:rPr>
                <w:w w:val="80"/>
                <w:sz w:val="16"/>
                <w:u w:val="single" w:color="939598"/>
              </w:rPr>
              <w:t>18 (90%)</w:t>
            </w:r>
            <w:r>
              <w:rPr>
                <w:sz w:val="16"/>
                <w:u w:val="single" w:color="939598"/>
              </w:rPr>
              <w:tab/>
            </w:r>
          </w:p>
          <w:p w14:paraId="35160DF2" w14:textId="77777777" w:rsidR="0092721B" w:rsidRDefault="00D22738">
            <w:pPr>
              <w:pStyle w:val="TableParagraph"/>
              <w:spacing w:before="46" w:line="182" w:lineRule="exact"/>
              <w:rPr>
                <w:sz w:val="16"/>
              </w:rPr>
            </w:pPr>
            <w:r>
              <w:rPr>
                <w:w w:val="80"/>
                <w:sz w:val="16"/>
              </w:rPr>
              <w:t>6 (30%)</w:t>
            </w:r>
          </w:p>
        </w:tc>
        <w:tc>
          <w:tcPr>
            <w:tcW w:w="1258" w:type="dxa"/>
            <w:tcBorders>
              <w:top w:val="single" w:sz="4" w:space="0" w:color="939598"/>
              <w:bottom w:val="single" w:sz="4" w:space="0" w:color="939598"/>
            </w:tcBorders>
          </w:tcPr>
          <w:p w14:paraId="2A21CAFE" w14:textId="77777777" w:rsidR="0092721B" w:rsidRDefault="00D22738">
            <w:pPr>
              <w:pStyle w:val="TableParagraph"/>
              <w:spacing w:before="133"/>
              <w:ind w:left="363" w:right="412"/>
              <w:rPr>
                <w:sz w:val="16"/>
              </w:rPr>
            </w:pPr>
            <w:r>
              <w:rPr>
                <w:w w:val="90"/>
                <w:sz w:val="16"/>
              </w:rPr>
              <w:t>0,0000</w:t>
            </w:r>
          </w:p>
        </w:tc>
      </w:tr>
      <w:tr w:rsidR="0092721B" w14:paraId="6386D32A" w14:textId="77777777">
        <w:trPr>
          <w:trHeight w:val="449"/>
        </w:trPr>
        <w:tc>
          <w:tcPr>
            <w:tcW w:w="1486" w:type="dxa"/>
            <w:tcBorders>
              <w:top w:val="single" w:sz="4" w:space="0" w:color="939598"/>
              <w:bottom w:val="single" w:sz="4" w:space="0" w:color="939598"/>
            </w:tcBorders>
          </w:tcPr>
          <w:p w14:paraId="43C2B693" w14:textId="77777777" w:rsidR="0092721B" w:rsidRDefault="00D22738">
            <w:pPr>
              <w:pStyle w:val="TableParagraph"/>
              <w:spacing w:before="37" w:line="249" w:lineRule="auto"/>
              <w:ind w:left="378" w:right="518" w:firstLine="36"/>
              <w:jc w:val="left"/>
              <w:rPr>
                <w:sz w:val="16"/>
                <w:lang w:eastAsia="ja-JP"/>
              </w:rPr>
            </w:pPr>
            <w:r>
              <w:rPr>
                <w:w w:val="80"/>
                <w:sz w:val="16"/>
                <w:lang w:eastAsia="ja-JP"/>
              </w:rPr>
              <w:t>アステニア・アディナミア</w:t>
            </w:r>
          </w:p>
        </w:tc>
        <w:tc>
          <w:tcPr>
            <w:tcW w:w="1096" w:type="dxa"/>
            <w:tcBorders>
              <w:top w:val="single" w:sz="4" w:space="0" w:color="939598"/>
              <w:bottom w:val="single" w:sz="4" w:space="0" w:color="939598"/>
            </w:tcBorders>
          </w:tcPr>
          <w:p w14:paraId="1FE3058A" w14:textId="77777777" w:rsidR="0092721B" w:rsidRDefault="00D22738">
            <w:pPr>
              <w:pStyle w:val="TableParagraph"/>
              <w:ind w:left="349" w:right="454"/>
              <w:rPr>
                <w:sz w:val="16"/>
              </w:rPr>
            </w:pPr>
            <w:r>
              <w:rPr>
                <w:w w:val="90"/>
                <w:sz w:val="16"/>
              </w:rPr>
              <w:t>Ctrl</w:t>
            </w:r>
          </w:p>
          <w:p w14:paraId="63583454" w14:textId="77777777" w:rsidR="0092721B" w:rsidRDefault="00D22738">
            <w:pPr>
              <w:pStyle w:val="TableParagraph"/>
              <w:spacing w:before="45" w:line="182" w:lineRule="exact"/>
              <w:ind w:left="350" w:right="454"/>
              <w:rPr>
                <w:sz w:val="16"/>
              </w:rPr>
            </w:pPr>
            <w:r>
              <w:rPr>
                <w:w w:val="90"/>
                <w:sz w:val="16"/>
              </w:rPr>
              <w:t>Exp</w:t>
            </w:r>
          </w:p>
        </w:tc>
        <w:tc>
          <w:tcPr>
            <w:tcW w:w="1414" w:type="dxa"/>
            <w:tcBorders>
              <w:top w:val="single" w:sz="4" w:space="0" w:color="939598"/>
              <w:bottom w:val="single" w:sz="4" w:space="0" w:color="939598"/>
            </w:tcBorders>
          </w:tcPr>
          <w:p w14:paraId="49DC795E" w14:textId="77777777" w:rsidR="0092721B" w:rsidRDefault="00D22738">
            <w:pPr>
              <w:pStyle w:val="TableParagraph"/>
              <w:ind w:left="441"/>
              <w:jc w:val="left"/>
              <w:rPr>
                <w:sz w:val="16"/>
              </w:rPr>
            </w:pPr>
            <w:r>
              <w:rPr>
                <w:w w:val="80"/>
                <w:sz w:val="16"/>
              </w:rPr>
              <w:t>18 (90%)</w:t>
            </w:r>
          </w:p>
          <w:p w14:paraId="2A28F8D8" w14:textId="77777777" w:rsidR="0092721B" w:rsidRDefault="00D22738">
            <w:pPr>
              <w:pStyle w:val="TableParagraph"/>
              <w:spacing w:before="45" w:line="182" w:lineRule="exact"/>
              <w:ind w:left="442"/>
              <w:jc w:val="left"/>
              <w:rPr>
                <w:sz w:val="16"/>
              </w:rPr>
            </w:pPr>
            <w:r>
              <w:rPr>
                <w:w w:val="80"/>
                <w:sz w:val="16"/>
              </w:rPr>
              <w:t>15 (75%)</w:t>
            </w:r>
          </w:p>
        </w:tc>
        <w:tc>
          <w:tcPr>
            <w:tcW w:w="1209" w:type="dxa"/>
            <w:tcBorders>
              <w:top w:val="single" w:sz="4" w:space="0" w:color="939598"/>
              <w:bottom w:val="single" w:sz="4" w:space="0" w:color="939598"/>
            </w:tcBorders>
          </w:tcPr>
          <w:p w14:paraId="00DF4D51" w14:textId="77777777" w:rsidR="0092721B" w:rsidRDefault="00D22738">
            <w:pPr>
              <w:pStyle w:val="TableParagraph"/>
              <w:spacing w:before="133"/>
              <w:ind w:left="362" w:right="363"/>
              <w:rPr>
                <w:sz w:val="16"/>
              </w:rPr>
            </w:pPr>
            <w:r>
              <w:rPr>
                <w:w w:val="90"/>
                <w:sz w:val="16"/>
              </w:rPr>
              <w:t>0,1015</w:t>
            </w:r>
          </w:p>
        </w:tc>
        <w:tc>
          <w:tcPr>
            <w:tcW w:w="1411" w:type="dxa"/>
            <w:tcBorders>
              <w:top w:val="single" w:sz="4" w:space="0" w:color="939598"/>
              <w:bottom w:val="single" w:sz="4" w:space="0" w:color="939598"/>
            </w:tcBorders>
          </w:tcPr>
          <w:p w14:paraId="11A5BD8C" w14:textId="77777777" w:rsidR="0092721B" w:rsidRDefault="00D22738">
            <w:pPr>
              <w:pStyle w:val="TableParagraph"/>
              <w:tabs>
                <w:tab w:val="left" w:pos="353"/>
                <w:tab w:val="left" w:pos="1309"/>
              </w:tabs>
              <w:ind w:right="1"/>
              <w:rPr>
                <w:sz w:val="16"/>
              </w:rPr>
            </w:pPr>
            <w:r>
              <w:rPr>
                <w:sz w:val="16"/>
                <w:u w:val="single" w:color="939598"/>
              </w:rPr>
              <w:tab/>
            </w:r>
            <w:r>
              <w:rPr>
                <w:w w:val="80"/>
                <w:sz w:val="16"/>
                <w:u w:val="single" w:color="939598"/>
              </w:rPr>
              <w:t>20 (100%)</w:t>
            </w:r>
            <w:r>
              <w:rPr>
                <w:sz w:val="16"/>
                <w:u w:val="single" w:color="939598"/>
              </w:rPr>
              <w:tab/>
            </w:r>
          </w:p>
          <w:p w14:paraId="1E656247" w14:textId="77777777" w:rsidR="0092721B" w:rsidRDefault="00D22738">
            <w:pPr>
              <w:pStyle w:val="TableParagraph"/>
              <w:spacing w:before="45" w:line="182" w:lineRule="exact"/>
              <w:ind w:right="1"/>
              <w:rPr>
                <w:sz w:val="16"/>
              </w:rPr>
            </w:pPr>
            <w:r>
              <w:rPr>
                <w:w w:val="80"/>
                <w:sz w:val="16"/>
              </w:rPr>
              <w:t>2 (10%)</w:t>
            </w:r>
          </w:p>
        </w:tc>
        <w:tc>
          <w:tcPr>
            <w:tcW w:w="1209" w:type="dxa"/>
            <w:tcBorders>
              <w:top w:val="single" w:sz="4" w:space="0" w:color="939598"/>
              <w:bottom w:val="single" w:sz="4" w:space="0" w:color="939598"/>
            </w:tcBorders>
          </w:tcPr>
          <w:p w14:paraId="32780889" w14:textId="77777777" w:rsidR="0092721B" w:rsidRDefault="00D22738">
            <w:pPr>
              <w:pStyle w:val="TableParagraph"/>
              <w:spacing w:before="133"/>
              <w:ind w:left="362" w:right="363"/>
              <w:rPr>
                <w:sz w:val="16"/>
              </w:rPr>
            </w:pPr>
            <w:r>
              <w:rPr>
                <w:w w:val="90"/>
                <w:sz w:val="16"/>
              </w:rPr>
              <w:t>0,0000</w:t>
            </w:r>
          </w:p>
        </w:tc>
        <w:tc>
          <w:tcPr>
            <w:tcW w:w="1411" w:type="dxa"/>
            <w:tcBorders>
              <w:top w:val="single" w:sz="4" w:space="0" w:color="939598"/>
              <w:bottom w:val="single" w:sz="4" w:space="0" w:color="939598"/>
            </w:tcBorders>
          </w:tcPr>
          <w:p w14:paraId="41EC3D95" w14:textId="77777777" w:rsidR="0092721B" w:rsidRDefault="00D22738">
            <w:pPr>
              <w:pStyle w:val="TableParagraph"/>
              <w:tabs>
                <w:tab w:val="left" w:pos="353"/>
                <w:tab w:val="left" w:pos="1309"/>
              </w:tabs>
              <w:ind w:right="2"/>
              <w:rPr>
                <w:sz w:val="16"/>
              </w:rPr>
            </w:pPr>
            <w:r>
              <w:rPr>
                <w:sz w:val="16"/>
                <w:u w:val="single" w:color="939598"/>
              </w:rPr>
              <w:tab/>
            </w:r>
            <w:r>
              <w:rPr>
                <w:w w:val="80"/>
                <w:sz w:val="16"/>
                <w:u w:val="single" w:color="939598"/>
              </w:rPr>
              <w:t>20 (100%)</w:t>
            </w:r>
            <w:r>
              <w:rPr>
                <w:sz w:val="16"/>
                <w:u w:val="single" w:color="939598"/>
              </w:rPr>
              <w:tab/>
            </w:r>
          </w:p>
          <w:p w14:paraId="1F035C1A" w14:textId="77777777" w:rsidR="0092721B" w:rsidRDefault="00D22738">
            <w:pPr>
              <w:pStyle w:val="TableParagraph"/>
              <w:spacing w:before="45" w:line="182" w:lineRule="exact"/>
              <w:rPr>
                <w:sz w:val="16"/>
              </w:rPr>
            </w:pPr>
            <w:r>
              <w:rPr>
                <w:w w:val="80"/>
                <w:sz w:val="16"/>
              </w:rPr>
              <w:t>0 (0%)</w:t>
            </w:r>
          </w:p>
        </w:tc>
        <w:tc>
          <w:tcPr>
            <w:tcW w:w="1258" w:type="dxa"/>
            <w:tcBorders>
              <w:top w:val="single" w:sz="4" w:space="0" w:color="939598"/>
              <w:bottom w:val="single" w:sz="4" w:space="0" w:color="939598"/>
            </w:tcBorders>
          </w:tcPr>
          <w:p w14:paraId="5EF120DE" w14:textId="77777777" w:rsidR="0092721B" w:rsidRDefault="00D22738">
            <w:pPr>
              <w:pStyle w:val="TableParagraph"/>
              <w:spacing w:before="133"/>
              <w:ind w:left="363" w:right="405"/>
              <w:rPr>
                <w:sz w:val="16"/>
              </w:rPr>
            </w:pPr>
            <w:r>
              <w:rPr>
                <w:w w:val="90"/>
                <w:sz w:val="16"/>
              </w:rPr>
              <w:t>NA</w:t>
            </w:r>
          </w:p>
        </w:tc>
      </w:tr>
      <w:tr w:rsidR="0092721B" w14:paraId="4952D020" w14:textId="77777777">
        <w:trPr>
          <w:trHeight w:val="449"/>
        </w:trPr>
        <w:tc>
          <w:tcPr>
            <w:tcW w:w="1486" w:type="dxa"/>
            <w:tcBorders>
              <w:top w:val="single" w:sz="4" w:space="0" w:color="939598"/>
              <w:bottom w:val="single" w:sz="4" w:space="0" w:color="939598"/>
            </w:tcBorders>
          </w:tcPr>
          <w:p w14:paraId="465FEF63" w14:textId="77777777" w:rsidR="0092721B" w:rsidRDefault="00D22738">
            <w:pPr>
              <w:pStyle w:val="TableParagraph"/>
              <w:spacing w:before="133"/>
              <w:ind w:left="140" w:right="282"/>
              <w:rPr>
                <w:sz w:val="16"/>
              </w:rPr>
            </w:pPr>
            <w:r>
              <w:rPr>
                <w:w w:val="90"/>
                <w:sz w:val="16"/>
              </w:rPr>
              <w:t>期待感</w:t>
            </w:r>
          </w:p>
        </w:tc>
        <w:tc>
          <w:tcPr>
            <w:tcW w:w="1096" w:type="dxa"/>
            <w:tcBorders>
              <w:top w:val="single" w:sz="4" w:space="0" w:color="939598"/>
              <w:bottom w:val="single" w:sz="4" w:space="0" w:color="939598"/>
            </w:tcBorders>
          </w:tcPr>
          <w:p w14:paraId="696F8FD7" w14:textId="77777777" w:rsidR="0092721B" w:rsidRDefault="00D22738">
            <w:pPr>
              <w:pStyle w:val="TableParagraph"/>
              <w:ind w:left="350" w:right="454"/>
              <w:rPr>
                <w:sz w:val="16"/>
              </w:rPr>
            </w:pPr>
            <w:r>
              <w:rPr>
                <w:w w:val="90"/>
                <w:sz w:val="16"/>
              </w:rPr>
              <w:t>Ctrl</w:t>
            </w:r>
          </w:p>
          <w:p w14:paraId="77EE1401" w14:textId="77777777" w:rsidR="0092721B" w:rsidRDefault="00D22738">
            <w:pPr>
              <w:pStyle w:val="TableParagraph"/>
              <w:spacing w:before="45" w:line="182" w:lineRule="exact"/>
              <w:ind w:left="350" w:right="454"/>
              <w:rPr>
                <w:sz w:val="16"/>
              </w:rPr>
            </w:pPr>
            <w:r>
              <w:rPr>
                <w:w w:val="90"/>
                <w:sz w:val="16"/>
              </w:rPr>
              <w:t>Exp</w:t>
            </w:r>
          </w:p>
        </w:tc>
        <w:tc>
          <w:tcPr>
            <w:tcW w:w="1414" w:type="dxa"/>
            <w:tcBorders>
              <w:top w:val="single" w:sz="4" w:space="0" w:color="939598"/>
              <w:bottom w:val="single" w:sz="4" w:space="0" w:color="939598"/>
            </w:tcBorders>
          </w:tcPr>
          <w:p w14:paraId="03824F98" w14:textId="77777777" w:rsidR="0092721B" w:rsidRDefault="00D22738">
            <w:pPr>
              <w:pStyle w:val="TableParagraph"/>
              <w:ind w:left="421" w:right="419"/>
              <w:rPr>
                <w:sz w:val="16"/>
              </w:rPr>
            </w:pPr>
            <w:r>
              <w:rPr>
                <w:w w:val="80"/>
                <w:sz w:val="16"/>
              </w:rPr>
              <w:t>7 (35%)</w:t>
            </w:r>
          </w:p>
          <w:p w14:paraId="39343CFB" w14:textId="77777777" w:rsidR="0092721B" w:rsidRDefault="00D22738">
            <w:pPr>
              <w:pStyle w:val="TableParagraph"/>
              <w:spacing w:before="45" w:line="182" w:lineRule="exact"/>
              <w:ind w:left="422" w:right="419"/>
              <w:rPr>
                <w:sz w:val="16"/>
              </w:rPr>
            </w:pPr>
            <w:r>
              <w:rPr>
                <w:w w:val="80"/>
                <w:sz w:val="16"/>
              </w:rPr>
              <w:t>4 (20%)</w:t>
            </w:r>
          </w:p>
        </w:tc>
        <w:tc>
          <w:tcPr>
            <w:tcW w:w="1209" w:type="dxa"/>
            <w:tcBorders>
              <w:top w:val="single" w:sz="4" w:space="0" w:color="939598"/>
              <w:bottom w:val="single" w:sz="4" w:space="0" w:color="939598"/>
            </w:tcBorders>
          </w:tcPr>
          <w:p w14:paraId="24143CF5" w14:textId="77777777" w:rsidR="0092721B" w:rsidRDefault="00D22738">
            <w:pPr>
              <w:pStyle w:val="TableParagraph"/>
              <w:spacing w:before="133"/>
              <w:ind w:left="363" w:right="363"/>
              <w:rPr>
                <w:sz w:val="16"/>
              </w:rPr>
            </w:pPr>
            <w:r>
              <w:rPr>
                <w:w w:val="90"/>
                <w:sz w:val="16"/>
              </w:rPr>
              <w:t>0,1405</w:t>
            </w:r>
          </w:p>
        </w:tc>
        <w:tc>
          <w:tcPr>
            <w:tcW w:w="1411" w:type="dxa"/>
            <w:tcBorders>
              <w:top w:val="single" w:sz="4" w:space="0" w:color="939598"/>
              <w:bottom w:val="single" w:sz="4" w:space="0" w:color="939598"/>
            </w:tcBorders>
          </w:tcPr>
          <w:p w14:paraId="37733954" w14:textId="77777777" w:rsidR="0092721B" w:rsidRDefault="00D22738">
            <w:pPr>
              <w:pStyle w:val="TableParagraph"/>
              <w:tabs>
                <w:tab w:val="left" w:pos="426"/>
                <w:tab w:val="left" w:pos="1309"/>
              </w:tabs>
              <w:ind w:right="1"/>
              <w:rPr>
                <w:sz w:val="16"/>
              </w:rPr>
            </w:pPr>
            <w:r>
              <w:rPr>
                <w:sz w:val="16"/>
                <w:u w:val="single" w:color="939598"/>
              </w:rPr>
              <w:tab/>
            </w:r>
            <w:r>
              <w:rPr>
                <w:w w:val="80"/>
                <w:sz w:val="16"/>
                <w:u w:val="single" w:color="939598"/>
              </w:rPr>
              <w:t>3 (15%)</w:t>
            </w:r>
            <w:r>
              <w:rPr>
                <w:sz w:val="16"/>
                <w:u w:val="single" w:color="939598"/>
              </w:rPr>
              <w:tab/>
            </w:r>
          </w:p>
          <w:p w14:paraId="5A6B1971" w14:textId="77777777" w:rsidR="0092721B" w:rsidRDefault="00D22738">
            <w:pPr>
              <w:pStyle w:val="TableParagraph"/>
              <w:spacing w:before="45" w:line="182" w:lineRule="exact"/>
              <w:rPr>
                <w:sz w:val="16"/>
              </w:rPr>
            </w:pPr>
            <w:r>
              <w:rPr>
                <w:w w:val="80"/>
                <w:sz w:val="16"/>
              </w:rPr>
              <w:t>0 (0%)</w:t>
            </w:r>
          </w:p>
        </w:tc>
        <w:tc>
          <w:tcPr>
            <w:tcW w:w="1209" w:type="dxa"/>
            <w:tcBorders>
              <w:top w:val="single" w:sz="4" w:space="0" w:color="939598"/>
              <w:bottom w:val="single" w:sz="4" w:space="0" w:color="939598"/>
            </w:tcBorders>
          </w:tcPr>
          <w:p w14:paraId="59BBDA4B" w14:textId="77777777" w:rsidR="0092721B" w:rsidRDefault="00D22738">
            <w:pPr>
              <w:pStyle w:val="TableParagraph"/>
              <w:spacing w:before="133"/>
              <w:ind w:left="362" w:right="363"/>
              <w:rPr>
                <w:sz w:val="16"/>
              </w:rPr>
            </w:pPr>
            <w:r>
              <w:rPr>
                <w:w w:val="90"/>
                <w:sz w:val="16"/>
              </w:rPr>
              <w:t>0,0301</w:t>
            </w:r>
          </w:p>
        </w:tc>
        <w:tc>
          <w:tcPr>
            <w:tcW w:w="1411" w:type="dxa"/>
            <w:tcBorders>
              <w:top w:val="single" w:sz="4" w:space="0" w:color="939598"/>
              <w:bottom w:val="single" w:sz="4" w:space="0" w:color="939598"/>
            </w:tcBorders>
          </w:tcPr>
          <w:p w14:paraId="16B24BB6" w14:textId="77777777" w:rsidR="0092721B" w:rsidRDefault="00D22738">
            <w:pPr>
              <w:pStyle w:val="TableParagraph"/>
              <w:tabs>
                <w:tab w:val="left" w:pos="463"/>
                <w:tab w:val="left" w:pos="1309"/>
              </w:tabs>
              <w:ind w:right="2"/>
              <w:rPr>
                <w:sz w:val="16"/>
              </w:rPr>
            </w:pPr>
            <w:r>
              <w:rPr>
                <w:sz w:val="16"/>
                <w:u w:val="single" w:color="939598"/>
              </w:rPr>
              <w:tab/>
            </w:r>
            <w:r>
              <w:rPr>
                <w:w w:val="80"/>
                <w:sz w:val="16"/>
                <w:u w:val="single" w:color="939598"/>
              </w:rPr>
              <w:t>0 (0%)</w:t>
            </w:r>
            <w:r>
              <w:rPr>
                <w:sz w:val="16"/>
                <w:u w:val="single" w:color="939598"/>
              </w:rPr>
              <w:tab/>
            </w:r>
          </w:p>
          <w:p w14:paraId="510F3E23" w14:textId="77777777" w:rsidR="0092721B" w:rsidRDefault="00D22738">
            <w:pPr>
              <w:pStyle w:val="TableParagraph"/>
              <w:spacing w:before="45" w:line="182" w:lineRule="exact"/>
              <w:ind w:right="1"/>
              <w:rPr>
                <w:sz w:val="16"/>
              </w:rPr>
            </w:pPr>
            <w:r>
              <w:rPr>
                <w:w w:val="80"/>
                <w:sz w:val="16"/>
              </w:rPr>
              <w:t>0 (0%)</w:t>
            </w:r>
          </w:p>
        </w:tc>
        <w:tc>
          <w:tcPr>
            <w:tcW w:w="1258" w:type="dxa"/>
            <w:tcBorders>
              <w:top w:val="single" w:sz="4" w:space="0" w:color="939598"/>
              <w:bottom w:val="single" w:sz="4" w:space="0" w:color="939598"/>
            </w:tcBorders>
          </w:tcPr>
          <w:p w14:paraId="50CFA752" w14:textId="77777777" w:rsidR="0092721B" w:rsidRDefault="00D22738">
            <w:pPr>
              <w:pStyle w:val="TableParagraph"/>
              <w:spacing w:before="133"/>
              <w:ind w:left="363" w:right="404"/>
              <w:rPr>
                <w:sz w:val="16"/>
              </w:rPr>
            </w:pPr>
            <w:r>
              <w:rPr>
                <w:w w:val="90"/>
                <w:sz w:val="16"/>
              </w:rPr>
              <w:t>NA</w:t>
            </w:r>
          </w:p>
        </w:tc>
      </w:tr>
      <w:tr w:rsidR="0092721B" w14:paraId="262C044C" w14:textId="77777777">
        <w:trPr>
          <w:trHeight w:val="449"/>
        </w:trPr>
        <w:tc>
          <w:tcPr>
            <w:tcW w:w="1486" w:type="dxa"/>
            <w:tcBorders>
              <w:top w:val="single" w:sz="4" w:space="0" w:color="939598"/>
              <w:bottom w:val="single" w:sz="4" w:space="0" w:color="939598"/>
            </w:tcBorders>
          </w:tcPr>
          <w:p w14:paraId="09074594" w14:textId="77777777" w:rsidR="0092721B" w:rsidRDefault="00D22738">
            <w:pPr>
              <w:pStyle w:val="TableParagraph"/>
              <w:spacing w:before="132"/>
              <w:ind w:left="141" w:right="282"/>
              <w:rPr>
                <w:sz w:val="16"/>
              </w:rPr>
            </w:pPr>
            <w:r>
              <w:rPr>
                <w:w w:val="90"/>
                <w:sz w:val="16"/>
              </w:rPr>
              <w:t>悪寒</w:t>
            </w:r>
          </w:p>
        </w:tc>
        <w:tc>
          <w:tcPr>
            <w:tcW w:w="1096" w:type="dxa"/>
            <w:tcBorders>
              <w:top w:val="single" w:sz="4" w:space="0" w:color="939598"/>
              <w:bottom w:val="single" w:sz="4" w:space="0" w:color="939598"/>
            </w:tcBorders>
          </w:tcPr>
          <w:p w14:paraId="7704EC18" w14:textId="77777777" w:rsidR="0092721B" w:rsidRDefault="00D22738">
            <w:pPr>
              <w:pStyle w:val="TableParagraph"/>
              <w:ind w:left="350" w:right="454"/>
              <w:rPr>
                <w:sz w:val="16"/>
              </w:rPr>
            </w:pPr>
            <w:r>
              <w:rPr>
                <w:w w:val="90"/>
                <w:sz w:val="16"/>
              </w:rPr>
              <w:t>Ctrl</w:t>
            </w:r>
          </w:p>
          <w:p w14:paraId="12E250CE" w14:textId="77777777" w:rsidR="0092721B" w:rsidRDefault="00D22738">
            <w:pPr>
              <w:pStyle w:val="TableParagraph"/>
              <w:spacing w:before="45" w:line="182" w:lineRule="exact"/>
              <w:ind w:left="351" w:right="454"/>
              <w:rPr>
                <w:sz w:val="16"/>
              </w:rPr>
            </w:pPr>
            <w:r>
              <w:rPr>
                <w:w w:val="90"/>
                <w:sz w:val="16"/>
              </w:rPr>
              <w:t>Exp</w:t>
            </w:r>
          </w:p>
        </w:tc>
        <w:tc>
          <w:tcPr>
            <w:tcW w:w="1414" w:type="dxa"/>
            <w:tcBorders>
              <w:top w:val="single" w:sz="4" w:space="0" w:color="939598"/>
              <w:bottom w:val="single" w:sz="4" w:space="0" w:color="939598"/>
            </w:tcBorders>
          </w:tcPr>
          <w:p w14:paraId="0F429A86" w14:textId="77777777" w:rsidR="0092721B" w:rsidRDefault="00D22738">
            <w:pPr>
              <w:pStyle w:val="TableParagraph"/>
              <w:ind w:left="422" w:right="419"/>
              <w:rPr>
                <w:sz w:val="16"/>
              </w:rPr>
            </w:pPr>
            <w:r>
              <w:rPr>
                <w:w w:val="80"/>
                <w:sz w:val="16"/>
              </w:rPr>
              <w:t>17 (85%)</w:t>
            </w:r>
          </w:p>
          <w:p w14:paraId="092EB630" w14:textId="77777777" w:rsidR="0092721B" w:rsidRDefault="00D22738">
            <w:pPr>
              <w:pStyle w:val="TableParagraph"/>
              <w:spacing w:before="45" w:line="182" w:lineRule="exact"/>
              <w:ind w:left="422" w:right="419"/>
              <w:rPr>
                <w:sz w:val="16"/>
              </w:rPr>
            </w:pPr>
            <w:r>
              <w:rPr>
                <w:w w:val="80"/>
                <w:sz w:val="16"/>
              </w:rPr>
              <w:t>7 (35%)</w:t>
            </w:r>
          </w:p>
        </w:tc>
        <w:tc>
          <w:tcPr>
            <w:tcW w:w="1209" w:type="dxa"/>
            <w:tcBorders>
              <w:top w:val="single" w:sz="4" w:space="0" w:color="939598"/>
              <w:bottom w:val="single" w:sz="4" w:space="0" w:color="939598"/>
            </w:tcBorders>
          </w:tcPr>
          <w:p w14:paraId="6010090E" w14:textId="77777777" w:rsidR="0092721B" w:rsidRDefault="00D22738">
            <w:pPr>
              <w:pStyle w:val="TableParagraph"/>
              <w:spacing w:before="132"/>
              <w:ind w:left="363" w:right="363"/>
              <w:rPr>
                <w:sz w:val="16"/>
              </w:rPr>
            </w:pPr>
            <w:r>
              <w:rPr>
                <w:w w:val="90"/>
                <w:sz w:val="16"/>
              </w:rPr>
              <w:t>0,0001</w:t>
            </w:r>
          </w:p>
        </w:tc>
        <w:tc>
          <w:tcPr>
            <w:tcW w:w="1411" w:type="dxa"/>
            <w:tcBorders>
              <w:top w:val="single" w:sz="4" w:space="0" w:color="939598"/>
              <w:bottom w:val="single" w:sz="4" w:space="0" w:color="939598"/>
            </w:tcBorders>
          </w:tcPr>
          <w:p w14:paraId="62385213" w14:textId="77777777" w:rsidR="0092721B" w:rsidRDefault="00D22738">
            <w:pPr>
              <w:pStyle w:val="TableParagraph"/>
              <w:tabs>
                <w:tab w:val="left" w:pos="390"/>
                <w:tab w:val="left" w:pos="1309"/>
              </w:tabs>
              <w:ind w:right="1"/>
              <w:rPr>
                <w:sz w:val="16"/>
              </w:rPr>
            </w:pPr>
            <w:r>
              <w:rPr>
                <w:sz w:val="16"/>
                <w:u w:val="single" w:color="939598"/>
              </w:rPr>
              <w:tab/>
            </w:r>
            <w:r>
              <w:rPr>
                <w:w w:val="80"/>
                <w:sz w:val="16"/>
                <w:u w:val="single" w:color="939598"/>
              </w:rPr>
              <w:t>10 (50%)</w:t>
            </w:r>
            <w:r>
              <w:rPr>
                <w:sz w:val="16"/>
                <w:u w:val="single" w:color="939598"/>
              </w:rPr>
              <w:tab/>
            </w:r>
          </w:p>
          <w:p w14:paraId="25B183A3" w14:textId="77777777" w:rsidR="0092721B" w:rsidRDefault="00D22738">
            <w:pPr>
              <w:pStyle w:val="TableParagraph"/>
              <w:spacing w:before="45" w:line="182" w:lineRule="exact"/>
              <w:rPr>
                <w:sz w:val="16"/>
              </w:rPr>
            </w:pPr>
            <w:r>
              <w:rPr>
                <w:w w:val="80"/>
                <w:sz w:val="16"/>
              </w:rPr>
              <w:t>0 (0%)</w:t>
            </w:r>
          </w:p>
        </w:tc>
        <w:tc>
          <w:tcPr>
            <w:tcW w:w="1209" w:type="dxa"/>
            <w:tcBorders>
              <w:top w:val="single" w:sz="4" w:space="0" w:color="939598"/>
              <w:bottom w:val="single" w:sz="4" w:space="0" w:color="939598"/>
            </w:tcBorders>
          </w:tcPr>
          <w:p w14:paraId="2613CACD" w14:textId="77777777" w:rsidR="0092721B" w:rsidRDefault="00D22738">
            <w:pPr>
              <w:pStyle w:val="TableParagraph"/>
              <w:spacing w:before="132"/>
              <w:ind w:left="363" w:right="363"/>
              <w:rPr>
                <w:sz w:val="16"/>
              </w:rPr>
            </w:pPr>
            <w:r>
              <w:rPr>
                <w:w w:val="90"/>
                <w:sz w:val="16"/>
              </w:rPr>
              <w:t>0,0000</w:t>
            </w:r>
          </w:p>
        </w:tc>
        <w:tc>
          <w:tcPr>
            <w:tcW w:w="1411" w:type="dxa"/>
            <w:tcBorders>
              <w:top w:val="single" w:sz="4" w:space="0" w:color="939598"/>
              <w:bottom w:val="single" w:sz="4" w:space="0" w:color="939598"/>
            </w:tcBorders>
          </w:tcPr>
          <w:p w14:paraId="6057D1FE" w14:textId="77777777" w:rsidR="0092721B" w:rsidRDefault="00D22738">
            <w:pPr>
              <w:pStyle w:val="TableParagraph"/>
              <w:tabs>
                <w:tab w:val="left" w:pos="426"/>
                <w:tab w:val="left" w:pos="1309"/>
              </w:tabs>
              <w:ind w:right="2"/>
              <w:rPr>
                <w:sz w:val="16"/>
              </w:rPr>
            </w:pPr>
            <w:r>
              <w:rPr>
                <w:sz w:val="16"/>
                <w:u w:val="single" w:color="939598"/>
              </w:rPr>
              <w:tab/>
            </w:r>
            <w:r>
              <w:rPr>
                <w:w w:val="80"/>
                <w:sz w:val="16"/>
                <w:u w:val="single" w:color="939598"/>
              </w:rPr>
              <w:t>4 (20%)</w:t>
            </w:r>
            <w:r>
              <w:rPr>
                <w:sz w:val="16"/>
                <w:u w:val="single" w:color="939598"/>
              </w:rPr>
              <w:tab/>
            </w:r>
          </w:p>
          <w:p w14:paraId="241FEDF8" w14:textId="77777777" w:rsidR="0092721B" w:rsidRDefault="00D22738">
            <w:pPr>
              <w:pStyle w:val="TableParagraph"/>
              <w:spacing w:before="45" w:line="182" w:lineRule="exact"/>
              <w:rPr>
                <w:sz w:val="16"/>
              </w:rPr>
            </w:pPr>
            <w:r>
              <w:rPr>
                <w:w w:val="80"/>
                <w:sz w:val="16"/>
              </w:rPr>
              <w:t>0 (0%)</w:t>
            </w:r>
          </w:p>
        </w:tc>
        <w:tc>
          <w:tcPr>
            <w:tcW w:w="1258" w:type="dxa"/>
            <w:tcBorders>
              <w:top w:val="single" w:sz="4" w:space="0" w:color="939598"/>
              <w:bottom w:val="single" w:sz="4" w:space="0" w:color="939598"/>
            </w:tcBorders>
          </w:tcPr>
          <w:p w14:paraId="77F8FDC2" w14:textId="77777777" w:rsidR="0092721B" w:rsidRDefault="00D22738">
            <w:pPr>
              <w:pStyle w:val="TableParagraph"/>
              <w:spacing w:before="132"/>
              <w:ind w:left="363" w:right="411"/>
              <w:rPr>
                <w:sz w:val="16"/>
              </w:rPr>
            </w:pPr>
            <w:r>
              <w:rPr>
                <w:w w:val="90"/>
                <w:sz w:val="16"/>
              </w:rPr>
              <w:t>0,0127</w:t>
            </w:r>
          </w:p>
        </w:tc>
      </w:tr>
      <w:tr w:rsidR="0092721B" w14:paraId="56B65228" w14:textId="77777777">
        <w:trPr>
          <w:trHeight w:val="449"/>
        </w:trPr>
        <w:tc>
          <w:tcPr>
            <w:tcW w:w="1486" w:type="dxa"/>
            <w:tcBorders>
              <w:top w:val="single" w:sz="4" w:space="0" w:color="939598"/>
              <w:bottom w:val="single" w:sz="4" w:space="0" w:color="939598"/>
            </w:tcBorders>
          </w:tcPr>
          <w:p w14:paraId="01ADA52A" w14:textId="77777777" w:rsidR="0092721B" w:rsidRDefault="00D22738">
            <w:pPr>
              <w:pStyle w:val="TableParagraph"/>
              <w:spacing w:before="132"/>
              <w:ind w:left="141" w:right="282"/>
              <w:rPr>
                <w:sz w:val="16"/>
              </w:rPr>
            </w:pPr>
            <w:r>
              <w:rPr>
                <w:w w:val="90"/>
                <w:sz w:val="16"/>
              </w:rPr>
              <w:t>嘔吐</w:t>
            </w:r>
          </w:p>
        </w:tc>
        <w:tc>
          <w:tcPr>
            <w:tcW w:w="1096" w:type="dxa"/>
            <w:tcBorders>
              <w:top w:val="single" w:sz="4" w:space="0" w:color="939598"/>
              <w:bottom w:val="single" w:sz="4" w:space="0" w:color="939598"/>
            </w:tcBorders>
          </w:tcPr>
          <w:p w14:paraId="7DA5EFA8" w14:textId="77777777" w:rsidR="0092721B" w:rsidRDefault="00D22738">
            <w:pPr>
              <w:pStyle w:val="TableParagraph"/>
              <w:ind w:left="351" w:right="454"/>
              <w:rPr>
                <w:sz w:val="16"/>
              </w:rPr>
            </w:pPr>
            <w:r>
              <w:rPr>
                <w:w w:val="90"/>
                <w:sz w:val="16"/>
              </w:rPr>
              <w:t>Ctrl</w:t>
            </w:r>
          </w:p>
          <w:p w14:paraId="61E7F119" w14:textId="77777777" w:rsidR="0092721B" w:rsidRDefault="00D22738">
            <w:pPr>
              <w:pStyle w:val="TableParagraph"/>
              <w:spacing w:before="45" w:line="182" w:lineRule="exact"/>
              <w:ind w:left="351" w:right="454"/>
              <w:rPr>
                <w:sz w:val="16"/>
              </w:rPr>
            </w:pPr>
            <w:r>
              <w:rPr>
                <w:w w:val="90"/>
                <w:sz w:val="16"/>
              </w:rPr>
              <w:t>Exp</w:t>
            </w:r>
          </w:p>
        </w:tc>
        <w:tc>
          <w:tcPr>
            <w:tcW w:w="1414" w:type="dxa"/>
            <w:tcBorders>
              <w:top w:val="single" w:sz="4" w:space="0" w:color="939598"/>
              <w:bottom w:val="single" w:sz="4" w:space="0" w:color="939598"/>
            </w:tcBorders>
          </w:tcPr>
          <w:p w14:paraId="1A194099" w14:textId="77777777" w:rsidR="0092721B" w:rsidRDefault="00D22738">
            <w:pPr>
              <w:pStyle w:val="TableParagraph"/>
              <w:ind w:left="422" w:right="419"/>
              <w:rPr>
                <w:sz w:val="16"/>
              </w:rPr>
            </w:pPr>
            <w:r>
              <w:rPr>
                <w:w w:val="80"/>
                <w:sz w:val="16"/>
              </w:rPr>
              <w:t>1 (5%)</w:t>
            </w:r>
          </w:p>
          <w:p w14:paraId="55CFF25D" w14:textId="77777777" w:rsidR="0092721B" w:rsidRDefault="00D22738">
            <w:pPr>
              <w:pStyle w:val="TableParagraph"/>
              <w:spacing w:before="45" w:line="182" w:lineRule="exact"/>
              <w:ind w:left="422" w:right="418"/>
              <w:rPr>
                <w:sz w:val="16"/>
              </w:rPr>
            </w:pPr>
            <w:r>
              <w:rPr>
                <w:w w:val="80"/>
                <w:sz w:val="16"/>
              </w:rPr>
              <w:t>0 (0%)</w:t>
            </w:r>
          </w:p>
        </w:tc>
        <w:tc>
          <w:tcPr>
            <w:tcW w:w="1209" w:type="dxa"/>
            <w:tcBorders>
              <w:top w:val="single" w:sz="4" w:space="0" w:color="939598"/>
              <w:bottom w:val="single" w:sz="4" w:space="0" w:color="939598"/>
            </w:tcBorders>
          </w:tcPr>
          <w:p w14:paraId="2591D040" w14:textId="77777777" w:rsidR="0092721B" w:rsidRDefault="00D22738">
            <w:pPr>
              <w:pStyle w:val="TableParagraph"/>
              <w:spacing w:before="132"/>
              <w:ind w:left="363" w:right="363"/>
              <w:rPr>
                <w:sz w:val="16"/>
              </w:rPr>
            </w:pPr>
            <w:r>
              <w:rPr>
                <w:w w:val="90"/>
                <w:sz w:val="16"/>
              </w:rPr>
              <w:t>0,1524</w:t>
            </w:r>
          </w:p>
        </w:tc>
        <w:tc>
          <w:tcPr>
            <w:tcW w:w="1411" w:type="dxa"/>
            <w:tcBorders>
              <w:top w:val="single" w:sz="4" w:space="0" w:color="939598"/>
              <w:bottom w:val="single" w:sz="4" w:space="0" w:color="939598"/>
            </w:tcBorders>
          </w:tcPr>
          <w:p w14:paraId="65EEE164" w14:textId="77777777" w:rsidR="0092721B" w:rsidRDefault="00D22738">
            <w:pPr>
              <w:pStyle w:val="TableParagraph"/>
              <w:tabs>
                <w:tab w:val="left" w:pos="463"/>
                <w:tab w:val="left" w:pos="1309"/>
              </w:tabs>
              <w:ind w:right="1"/>
              <w:rPr>
                <w:sz w:val="16"/>
              </w:rPr>
            </w:pPr>
            <w:r>
              <w:rPr>
                <w:sz w:val="16"/>
                <w:u w:val="single" w:color="939598"/>
              </w:rPr>
              <w:tab/>
            </w:r>
            <w:r>
              <w:rPr>
                <w:w w:val="80"/>
                <w:sz w:val="16"/>
                <w:u w:val="single" w:color="939598"/>
              </w:rPr>
              <w:t>0 (0%)</w:t>
            </w:r>
            <w:r>
              <w:rPr>
                <w:sz w:val="16"/>
                <w:u w:val="single" w:color="939598"/>
              </w:rPr>
              <w:tab/>
            </w:r>
          </w:p>
          <w:p w14:paraId="1849B7BC" w14:textId="77777777" w:rsidR="0092721B" w:rsidRDefault="00D22738">
            <w:pPr>
              <w:pStyle w:val="TableParagraph"/>
              <w:spacing w:before="45" w:line="182" w:lineRule="exact"/>
              <w:rPr>
                <w:sz w:val="16"/>
              </w:rPr>
            </w:pPr>
            <w:r>
              <w:rPr>
                <w:w w:val="80"/>
                <w:sz w:val="16"/>
              </w:rPr>
              <w:t>0 (0%)</w:t>
            </w:r>
          </w:p>
        </w:tc>
        <w:tc>
          <w:tcPr>
            <w:tcW w:w="1209" w:type="dxa"/>
            <w:tcBorders>
              <w:top w:val="single" w:sz="4" w:space="0" w:color="939598"/>
              <w:bottom w:val="single" w:sz="4" w:space="0" w:color="939598"/>
            </w:tcBorders>
          </w:tcPr>
          <w:p w14:paraId="5F1A6B2E" w14:textId="77777777" w:rsidR="0092721B" w:rsidRDefault="00D22738">
            <w:pPr>
              <w:pStyle w:val="TableParagraph"/>
              <w:spacing w:before="132"/>
              <w:ind w:left="363" w:right="357"/>
              <w:rPr>
                <w:sz w:val="16"/>
              </w:rPr>
            </w:pPr>
            <w:r>
              <w:rPr>
                <w:w w:val="90"/>
                <w:sz w:val="16"/>
              </w:rPr>
              <w:t>NA</w:t>
            </w:r>
          </w:p>
        </w:tc>
        <w:tc>
          <w:tcPr>
            <w:tcW w:w="1411" w:type="dxa"/>
            <w:tcBorders>
              <w:top w:val="single" w:sz="4" w:space="0" w:color="939598"/>
              <w:bottom w:val="single" w:sz="4" w:space="0" w:color="939598"/>
            </w:tcBorders>
          </w:tcPr>
          <w:p w14:paraId="138EB348" w14:textId="77777777" w:rsidR="0092721B" w:rsidRDefault="00D22738">
            <w:pPr>
              <w:pStyle w:val="TableParagraph"/>
              <w:tabs>
                <w:tab w:val="left" w:pos="463"/>
                <w:tab w:val="left" w:pos="1309"/>
              </w:tabs>
              <w:ind w:right="2"/>
              <w:rPr>
                <w:sz w:val="16"/>
              </w:rPr>
            </w:pPr>
            <w:r>
              <w:rPr>
                <w:sz w:val="16"/>
                <w:u w:val="single" w:color="939598"/>
              </w:rPr>
              <w:tab/>
            </w:r>
            <w:r>
              <w:rPr>
                <w:w w:val="80"/>
                <w:sz w:val="16"/>
                <w:u w:val="single" w:color="939598"/>
              </w:rPr>
              <w:t>0 (0%)</w:t>
            </w:r>
            <w:r>
              <w:rPr>
                <w:sz w:val="16"/>
                <w:u w:val="single" w:color="939598"/>
              </w:rPr>
              <w:tab/>
            </w:r>
          </w:p>
          <w:p w14:paraId="64809663" w14:textId="77777777" w:rsidR="0092721B" w:rsidRDefault="00D22738">
            <w:pPr>
              <w:pStyle w:val="TableParagraph"/>
              <w:spacing w:before="45" w:line="182" w:lineRule="exact"/>
              <w:rPr>
                <w:sz w:val="16"/>
              </w:rPr>
            </w:pPr>
            <w:r>
              <w:rPr>
                <w:w w:val="80"/>
                <w:sz w:val="16"/>
              </w:rPr>
              <w:t>0 (0%)</w:t>
            </w:r>
          </w:p>
        </w:tc>
        <w:tc>
          <w:tcPr>
            <w:tcW w:w="1258" w:type="dxa"/>
            <w:tcBorders>
              <w:top w:val="single" w:sz="4" w:space="0" w:color="939598"/>
              <w:bottom w:val="single" w:sz="4" w:space="0" w:color="939598"/>
            </w:tcBorders>
          </w:tcPr>
          <w:p w14:paraId="34164DE0" w14:textId="77777777" w:rsidR="0092721B" w:rsidRDefault="00D22738">
            <w:pPr>
              <w:pStyle w:val="TableParagraph"/>
              <w:spacing w:before="132"/>
              <w:ind w:left="363" w:right="403"/>
              <w:rPr>
                <w:sz w:val="16"/>
              </w:rPr>
            </w:pPr>
            <w:r>
              <w:rPr>
                <w:w w:val="90"/>
                <w:sz w:val="16"/>
              </w:rPr>
              <w:t>NA</w:t>
            </w:r>
          </w:p>
        </w:tc>
      </w:tr>
      <w:tr w:rsidR="0092721B" w14:paraId="76744FA2" w14:textId="77777777">
        <w:trPr>
          <w:trHeight w:val="449"/>
        </w:trPr>
        <w:tc>
          <w:tcPr>
            <w:tcW w:w="1486" w:type="dxa"/>
            <w:tcBorders>
              <w:top w:val="single" w:sz="4" w:space="0" w:color="939598"/>
              <w:bottom w:val="single" w:sz="4" w:space="0" w:color="939598"/>
            </w:tcBorders>
          </w:tcPr>
          <w:p w14:paraId="2B7AA2D2" w14:textId="77777777" w:rsidR="0092721B" w:rsidRDefault="00D22738">
            <w:pPr>
              <w:pStyle w:val="TableParagraph"/>
              <w:spacing w:before="132"/>
              <w:ind w:left="142" w:right="282"/>
              <w:rPr>
                <w:sz w:val="16"/>
              </w:rPr>
            </w:pPr>
            <w:r>
              <w:rPr>
                <w:w w:val="90"/>
                <w:sz w:val="16"/>
              </w:rPr>
              <w:t>ダイスネア</w:t>
            </w:r>
          </w:p>
        </w:tc>
        <w:tc>
          <w:tcPr>
            <w:tcW w:w="1096" w:type="dxa"/>
            <w:tcBorders>
              <w:top w:val="single" w:sz="4" w:space="0" w:color="939598"/>
              <w:bottom w:val="single" w:sz="4" w:space="0" w:color="939598"/>
            </w:tcBorders>
          </w:tcPr>
          <w:p w14:paraId="1AC52769" w14:textId="77777777" w:rsidR="0092721B" w:rsidRDefault="00D22738">
            <w:pPr>
              <w:pStyle w:val="TableParagraph"/>
              <w:ind w:left="351" w:right="454"/>
              <w:rPr>
                <w:sz w:val="16"/>
              </w:rPr>
            </w:pPr>
            <w:r>
              <w:rPr>
                <w:w w:val="90"/>
                <w:sz w:val="16"/>
              </w:rPr>
              <w:t>Ctrl</w:t>
            </w:r>
          </w:p>
          <w:p w14:paraId="1885A7CF" w14:textId="77777777" w:rsidR="0092721B" w:rsidRDefault="00D22738">
            <w:pPr>
              <w:pStyle w:val="TableParagraph"/>
              <w:spacing w:before="45" w:line="182" w:lineRule="exact"/>
              <w:ind w:left="351" w:right="453"/>
              <w:rPr>
                <w:sz w:val="16"/>
              </w:rPr>
            </w:pPr>
            <w:r>
              <w:rPr>
                <w:w w:val="90"/>
                <w:sz w:val="16"/>
              </w:rPr>
              <w:t>Exp</w:t>
            </w:r>
          </w:p>
        </w:tc>
        <w:tc>
          <w:tcPr>
            <w:tcW w:w="1414" w:type="dxa"/>
            <w:tcBorders>
              <w:top w:val="single" w:sz="4" w:space="0" w:color="939598"/>
              <w:bottom w:val="single" w:sz="4" w:space="0" w:color="939598"/>
            </w:tcBorders>
          </w:tcPr>
          <w:p w14:paraId="5A8380AC" w14:textId="77777777" w:rsidR="0092721B" w:rsidRDefault="00D22738">
            <w:pPr>
              <w:pStyle w:val="TableParagraph"/>
              <w:ind w:left="442"/>
              <w:jc w:val="left"/>
              <w:rPr>
                <w:sz w:val="16"/>
              </w:rPr>
            </w:pPr>
            <w:r>
              <w:rPr>
                <w:w w:val="80"/>
                <w:sz w:val="16"/>
              </w:rPr>
              <w:t>18 (90%)</w:t>
            </w:r>
          </w:p>
          <w:p w14:paraId="01EC2379" w14:textId="77777777" w:rsidR="0092721B" w:rsidRDefault="00D22738">
            <w:pPr>
              <w:pStyle w:val="TableParagraph"/>
              <w:spacing w:before="45" w:line="182" w:lineRule="exact"/>
              <w:ind w:left="443"/>
              <w:jc w:val="left"/>
              <w:rPr>
                <w:sz w:val="16"/>
              </w:rPr>
            </w:pPr>
            <w:r>
              <w:rPr>
                <w:w w:val="80"/>
                <w:sz w:val="16"/>
              </w:rPr>
              <w:t>18 (90%)</w:t>
            </w:r>
          </w:p>
        </w:tc>
        <w:tc>
          <w:tcPr>
            <w:tcW w:w="1209" w:type="dxa"/>
            <w:tcBorders>
              <w:top w:val="single" w:sz="4" w:space="0" w:color="939598"/>
              <w:bottom w:val="single" w:sz="4" w:space="0" w:color="939598"/>
            </w:tcBorders>
          </w:tcPr>
          <w:p w14:paraId="5B199C64" w14:textId="77777777" w:rsidR="0092721B" w:rsidRDefault="00D22738">
            <w:pPr>
              <w:pStyle w:val="TableParagraph"/>
              <w:spacing w:before="132"/>
              <w:ind w:left="363" w:right="363"/>
              <w:rPr>
                <w:sz w:val="16"/>
              </w:rPr>
            </w:pPr>
            <w:r>
              <w:rPr>
                <w:w w:val="90"/>
                <w:sz w:val="16"/>
              </w:rPr>
              <w:t>0,5000</w:t>
            </w:r>
          </w:p>
        </w:tc>
        <w:tc>
          <w:tcPr>
            <w:tcW w:w="1411" w:type="dxa"/>
            <w:tcBorders>
              <w:top w:val="single" w:sz="4" w:space="0" w:color="939598"/>
              <w:bottom w:val="single" w:sz="4" w:space="0" w:color="939598"/>
            </w:tcBorders>
          </w:tcPr>
          <w:p w14:paraId="00919475" w14:textId="77777777" w:rsidR="0092721B" w:rsidRDefault="00D22738">
            <w:pPr>
              <w:pStyle w:val="TableParagraph"/>
              <w:tabs>
                <w:tab w:val="left" w:pos="390"/>
                <w:tab w:val="left" w:pos="1309"/>
              </w:tabs>
              <w:ind w:right="1"/>
              <w:rPr>
                <w:sz w:val="16"/>
              </w:rPr>
            </w:pPr>
            <w:r>
              <w:rPr>
                <w:sz w:val="16"/>
                <w:u w:val="single" w:color="939598"/>
              </w:rPr>
              <w:tab/>
            </w:r>
            <w:r>
              <w:rPr>
                <w:w w:val="80"/>
                <w:sz w:val="16"/>
                <w:u w:val="single" w:color="939598"/>
              </w:rPr>
              <w:t>16 (80%)</w:t>
            </w:r>
            <w:r>
              <w:rPr>
                <w:sz w:val="16"/>
                <w:u w:val="single" w:color="939598"/>
              </w:rPr>
              <w:tab/>
            </w:r>
          </w:p>
          <w:p w14:paraId="6BF8F4BD" w14:textId="77777777" w:rsidR="0092721B" w:rsidRDefault="00D22738">
            <w:pPr>
              <w:pStyle w:val="TableParagraph"/>
              <w:spacing w:before="45" w:line="182" w:lineRule="exact"/>
              <w:rPr>
                <w:sz w:val="16"/>
              </w:rPr>
            </w:pPr>
            <w:r>
              <w:rPr>
                <w:w w:val="80"/>
                <w:sz w:val="16"/>
              </w:rPr>
              <w:t>7 (35%)</w:t>
            </w:r>
          </w:p>
        </w:tc>
        <w:tc>
          <w:tcPr>
            <w:tcW w:w="1209" w:type="dxa"/>
            <w:tcBorders>
              <w:top w:val="single" w:sz="4" w:space="0" w:color="939598"/>
              <w:bottom w:val="single" w:sz="4" w:space="0" w:color="939598"/>
            </w:tcBorders>
          </w:tcPr>
          <w:p w14:paraId="48D1E541" w14:textId="77777777" w:rsidR="0092721B" w:rsidRDefault="00D22738">
            <w:pPr>
              <w:pStyle w:val="TableParagraph"/>
              <w:spacing w:before="132"/>
              <w:ind w:left="363" w:right="363"/>
              <w:rPr>
                <w:sz w:val="16"/>
              </w:rPr>
            </w:pPr>
            <w:r>
              <w:rPr>
                <w:w w:val="90"/>
                <w:sz w:val="16"/>
              </w:rPr>
              <w:t>0,0006</w:t>
            </w:r>
          </w:p>
        </w:tc>
        <w:tc>
          <w:tcPr>
            <w:tcW w:w="1411" w:type="dxa"/>
            <w:tcBorders>
              <w:top w:val="single" w:sz="4" w:space="0" w:color="939598"/>
              <w:bottom w:val="single" w:sz="4" w:space="0" w:color="939598"/>
            </w:tcBorders>
          </w:tcPr>
          <w:p w14:paraId="3754D7E3" w14:textId="77777777" w:rsidR="0092721B" w:rsidRDefault="00D22738">
            <w:pPr>
              <w:pStyle w:val="TableParagraph"/>
              <w:tabs>
                <w:tab w:val="left" w:pos="390"/>
                <w:tab w:val="left" w:pos="1309"/>
              </w:tabs>
              <w:ind w:right="2"/>
              <w:rPr>
                <w:sz w:val="16"/>
              </w:rPr>
            </w:pPr>
            <w:r>
              <w:rPr>
                <w:sz w:val="16"/>
                <w:u w:val="single" w:color="939598"/>
              </w:rPr>
              <w:tab/>
            </w:r>
            <w:r>
              <w:rPr>
                <w:w w:val="80"/>
                <w:sz w:val="16"/>
                <w:u w:val="single" w:color="939598"/>
              </w:rPr>
              <w:t>12 (60%)</w:t>
            </w:r>
            <w:r>
              <w:rPr>
                <w:sz w:val="16"/>
                <w:u w:val="single" w:color="939598"/>
              </w:rPr>
              <w:tab/>
            </w:r>
          </w:p>
          <w:p w14:paraId="4CEB012C" w14:textId="77777777" w:rsidR="0092721B" w:rsidRDefault="00D22738">
            <w:pPr>
              <w:pStyle w:val="TableParagraph"/>
              <w:spacing w:before="45" w:line="182" w:lineRule="exact"/>
              <w:rPr>
                <w:sz w:val="16"/>
              </w:rPr>
            </w:pPr>
            <w:r>
              <w:rPr>
                <w:w w:val="80"/>
                <w:sz w:val="16"/>
              </w:rPr>
              <w:t>3 (15%)</w:t>
            </w:r>
          </w:p>
        </w:tc>
        <w:tc>
          <w:tcPr>
            <w:tcW w:w="1258" w:type="dxa"/>
            <w:tcBorders>
              <w:top w:val="single" w:sz="4" w:space="0" w:color="939598"/>
              <w:bottom w:val="single" w:sz="4" w:space="0" w:color="939598"/>
            </w:tcBorders>
          </w:tcPr>
          <w:p w14:paraId="6E98C96D" w14:textId="77777777" w:rsidR="0092721B" w:rsidRDefault="00D22738">
            <w:pPr>
              <w:pStyle w:val="TableParagraph"/>
              <w:spacing w:before="132"/>
              <w:ind w:left="363" w:right="410"/>
              <w:rPr>
                <w:sz w:val="16"/>
              </w:rPr>
            </w:pPr>
            <w:r>
              <w:rPr>
                <w:w w:val="90"/>
                <w:sz w:val="16"/>
              </w:rPr>
              <w:t>0,0005</w:t>
            </w:r>
          </w:p>
        </w:tc>
      </w:tr>
      <w:tr w:rsidR="0092721B" w14:paraId="43D10B2A" w14:textId="77777777">
        <w:trPr>
          <w:trHeight w:val="449"/>
        </w:trPr>
        <w:tc>
          <w:tcPr>
            <w:tcW w:w="1486" w:type="dxa"/>
            <w:tcBorders>
              <w:top w:val="single" w:sz="4" w:space="0" w:color="939598"/>
              <w:bottom w:val="single" w:sz="4" w:space="0" w:color="939598"/>
            </w:tcBorders>
          </w:tcPr>
          <w:p w14:paraId="671FEF90" w14:textId="77777777" w:rsidR="0092721B" w:rsidRDefault="00D22738">
            <w:pPr>
              <w:pStyle w:val="TableParagraph"/>
              <w:spacing w:before="132"/>
              <w:ind w:left="142" w:right="282"/>
              <w:rPr>
                <w:sz w:val="16"/>
              </w:rPr>
            </w:pPr>
            <w:r>
              <w:rPr>
                <w:w w:val="80"/>
                <w:sz w:val="16"/>
              </w:rPr>
              <w:t>鼻づまり</w:t>
            </w:r>
          </w:p>
        </w:tc>
        <w:tc>
          <w:tcPr>
            <w:tcW w:w="1096" w:type="dxa"/>
            <w:tcBorders>
              <w:top w:val="single" w:sz="4" w:space="0" w:color="939598"/>
              <w:bottom w:val="single" w:sz="4" w:space="0" w:color="939598"/>
            </w:tcBorders>
          </w:tcPr>
          <w:p w14:paraId="4F364EF0" w14:textId="77777777" w:rsidR="0092721B" w:rsidRDefault="00D22738">
            <w:pPr>
              <w:pStyle w:val="TableParagraph"/>
              <w:spacing w:before="17"/>
              <w:ind w:left="351" w:right="453"/>
              <w:rPr>
                <w:sz w:val="16"/>
              </w:rPr>
            </w:pPr>
            <w:r>
              <w:rPr>
                <w:w w:val="90"/>
                <w:sz w:val="16"/>
              </w:rPr>
              <w:t>Ctrl</w:t>
            </w:r>
          </w:p>
          <w:p w14:paraId="717F2F0B" w14:textId="77777777" w:rsidR="0092721B" w:rsidRDefault="00D22738">
            <w:pPr>
              <w:pStyle w:val="TableParagraph"/>
              <w:spacing w:before="46" w:line="182" w:lineRule="exact"/>
              <w:ind w:left="351" w:right="452"/>
              <w:rPr>
                <w:sz w:val="16"/>
              </w:rPr>
            </w:pPr>
            <w:r>
              <w:rPr>
                <w:w w:val="90"/>
                <w:sz w:val="16"/>
              </w:rPr>
              <w:t>Exp</w:t>
            </w:r>
          </w:p>
        </w:tc>
        <w:tc>
          <w:tcPr>
            <w:tcW w:w="1414" w:type="dxa"/>
            <w:tcBorders>
              <w:top w:val="single" w:sz="4" w:space="0" w:color="939598"/>
              <w:bottom w:val="single" w:sz="4" w:space="0" w:color="939598"/>
            </w:tcBorders>
          </w:tcPr>
          <w:p w14:paraId="373C9B61" w14:textId="77777777" w:rsidR="0092721B" w:rsidRDefault="00D22738">
            <w:pPr>
              <w:pStyle w:val="TableParagraph"/>
              <w:spacing w:before="17"/>
              <w:ind w:left="422" w:right="418"/>
              <w:rPr>
                <w:sz w:val="16"/>
              </w:rPr>
            </w:pPr>
            <w:r>
              <w:rPr>
                <w:w w:val="80"/>
                <w:sz w:val="16"/>
              </w:rPr>
              <w:t>5 (25%)</w:t>
            </w:r>
          </w:p>
          <w:p w14:paraId="2B219EBF" w14:textId="77777777" w:rsidR="0092721B" w:rsidRDefault="00D22738">
            <w:pPr>
              <w:pStyle w:val="TableParagraph"/>
              <w:spacing w:before="46" w:line="182" w:lineRule="exact"/>
              <w:ind w:left="422" w:right="417"/>
              <w:rPr>
                <w:sz w:val="16"/>
              </w:rPr>
            </w:pPr>
            <w:r>
              <w:rPr>
                <w:w w:val="80"/>
                <w:sz w:val="16"/>
              </w:rPr>
              <w:t>7 (35%)</w:t>
            </w:r>
          </w:p>
        </w:tc>
        <w:tc>
          <w:tcPr>
            <w:tcW w:w="1209" w:type="dxa"/>
            <w:tcBorders>
              <w:top w:val="single" w:sz="4" w:space="0" w:color="939598"/>
              <w:bottom w:val="single" w:sz="4" w:space="0" w:color="939598"/>
            </w:tcBorders>
          </w:tcPr>
          <w:p w14:paraId="43D3DC4E" w14:textId="77777777" w:rsidR="0092721B" w:rsidRDefault="00D22738">
            <w:pPr>
              <w:pStyle w:val="TableParagraph"/>
              <w:spacing w:before="132"/>
              <w:ind w:left="363" w:right="362"/>
              <w:rPr>
                <w:sz w:val="16"/>
              </w:rPr>
            </w:pPr>
            <w:r>
              <w:rPr>
                <w:w w:val="90"/>
                <w:sz w:val="16"/>
              </w:rPr>
              <w:t>0,2438</w:t>
            </w:r>
          </w:p>
        </w:tc>
        <w:tc>
          <w:tcPr>
            <w:tcW w:w="1411" w:type="dxa"/>
            <w:tcBorders>
              <w:top w:val="single" w:sz="4" w:space="0" w:color="939598"/>
              <w:bottom w:val="single" w:sz="4" w:space="0" w:color="939598"/>
            </w:tcBorders>
          </w:tcPr>
          <w:p w14:paraId="31B76AC9" w14:textId="77777777" w:rsidR="0092721B" w:rsidRDefault="00D22738">
            <w:pPr>
              <w:pStyle w:val="TableParagraph"/>
              <w:tabs>
                <w:tab w:val="left" w:pos="427"/>
                <w:tab w:val="left" w:pos="1309"/>
              </w:tabs>
              <w:spacing w:before="17"/>
              <w:ind w:right="1"/>
              <w:rPr>
                <w:sz w:val="16"/>
              </w:rPr>
            </w:pPr>
            <w:r>
              <w:rPr>
                <w:sz w:val="16"/>
                <w:u w:val="single" w:color="939598"/>
              </w:rPr>
              <w:tab/>
            </w:r>
            <w:r>
              <w:rPr>
                <w:w w:val="80"/>
                <w:sz w:val="16"/>
                <w:u w:val="single" w:color="939598"/>
              </w:rPr>
              <w:t>2 (10%)</w:t>
            </w:r>
            <w:r>
              <w:rPr>
                <w:sz w:val="16"/>
                <w:u w:val="single" w:color="939598"/>
              </w:rPr>
              <w:tab/>
            </w:r>
          </w:p>
          <w:p w14:paraId="648881AD" w14:textId="77777777" w:rsidR="0092721B" w:rsidRDefault="00D22738">
            <w:pPr>
              <w:pStyle w:val="TableParagraph"/>
              <w:spacing w:before="46" w:line="182" w:lineRule="exact"/>
              <w:ind w:left="2" w:right="1"/>
              <w:rPr>
                <w:sz w:val="16"/>
              </w:rPr>
            </w:pPr>
            <w:r>
              <w:rPr>
                <w:w w:val="80"/>
                <w:sz w:val="16"/>
              </w:rPr>
              <w:t>0 (0%)</w:t>
            </w:r>
          </w:p>
        </w:tc>
        <w:tc>
          <w:tcPr>
            <w:tcW w:w="1209" w:type="dxa"/>
            <w:tcBorders>
              <w:top w:val="single" w:sz="4" w:space="0" w:color="939598"/>
              <w:bottom w:val="single" w:sz="4" w:space="0" w:color="939598"/>
            </w:tcBorders>
          </w:tcPr>
          <w:p w14:paraId="63E3AFD3" w14:textId="77777777" w:rsidR="0092721B" w:rsidRDefault="00D22738">
            <w:pPr>
              <w:pStyle w:val="TableParagraph"/>
              <w:spacing w:before="132"/>
              <w:ind w:left="363" w:right="363"/>
              <w:rPr>
                <w:sz w:val="16"/>
              </w:rPr>
            </w:pPr>
            <w:r>
              <w:rPr>
                <w:w w:val="90"/>
                <w:sz w:val="16"/>
              </w:rPr>
              <w:t>0,0680</w:t>
            </w:r>
          </w:p>
        </w:tc>
        <w:tc>
          <w:tcPr>
            <w:tcW w:w="1411" w:type="dxa"/>
            <w:tcBorders>
              <w:top w:val="single" w:sz="4" w:space="0" w:color="939598"/>
              <w:bottom w:val="single" w:sz="4" w:space="0" w:color="939598"/>
            </w:tcBorders>
          </w:tcPr>
          <w:p w14:paraId="30DD13A9" w14:textId="77777777" w:rsidR="0092721B" w:rsidRDefault="00D22738">
            <w:pPr>
              <w:pStyle w:val="TableParagraph"/>
              <w:tabs>
                <w:tab w:val="left" w:pos="464"/>
                <w:tab w:val="left" w:pos="1309"/>
              </w:tabs>
              <w:spacing w:before="17"/>
              <w:ind w:right="2"/>
              <w:rPr>
                <w:sz w:val="16"/>
              </w:rPr>
            </w:pPr>
            <w:r>
              <w:rPr>
                <w:sz w:val="16"/>
                <w:u w:val="single" w:color="939598"/>
              </w:rPr>
              <w:tab/>
            </w:r>
            <w:r>
              <w:rPr>
                <w:w w:val="80"/>
                <w:sz w:val="16"/>
                <w:u w:val="single" w:color="939598"/>
              </w:rPr>
              <w:t>0 (0%)</w:t>
            </w:r>
            <w:r>
              <w:rPr>
                <w:sz w:val="16"/>
                <w:u w:val="single" w:color="939598"/>
              </w:rPr>
              <w:tab/>
            </w:r>
          </w:p>
          <w:p w14:paraId="2C48045A" w14:textId="77777777" w:rsidR="0092721B" w:rsidRDefault="00D22738">
            <w:pPr>
              <w:pStyle w:val="TableParagraph"/>
              <w:spacing w:before="46" w:line="182" w:lineRule="exact"/>
              <w:rPr>
                <w:sz w:val="16"/>
              </w:rPr>
            </w:pPr>
            <w:r>
              <w:rPr>
                <w:w w:val="80"/>
                <w:sz w:val="16"/>
              </w:rPr>
              <w:t>0 (0%)</w:t>
            </w:r>
          </w:p>
        </w:tc>
        <w:tc>
          <w:tcPr>
            <w:tcW w:w="1258" w:type="dxa"/>
            <w:tcBorders>
              <w:top w:val="single" w:sz="4" w:space="0" w:color="939598"/>
              <w:bottom w:val="single" w:sz="4" w:space="0" w:color="939598"/>
            </w:tcBorders>
          </w:tcPr>
          <w:p w14:paraId="61DBAEE2" w14:textId="77777777" w:rsidR="0092721B" w:rsidRDefault="00D22738">
            <w:pPr>
              <w:pStyle w:val="TableParagraph"/>
              <w:spacing w:before="132"/>
              <w:ind w:left="363" w:right="402"/>
              <w:rPr>
                <w:sz w:val="16"/>
              </w:rPr>
            </w:pPr>
            <w:r>
              <w:rPr>
                <w:w w:val="90"/>
                <w:sz w:val="16"/>
              </w:rPr>
              <w:t>NA</w:t>
            </w:r>
          </w:p>
        </w:tc>
      </w:tr>
    </w:tbl>
    <w:p w14:paraId="45A615C9" w14:textId="77777777" w:rsidR="0092721B" w:rsidRDefault="0092721B">
      <w:pPr>
        <w:pStyle w:val="a3"/>
        <w:spacing w:before="8"/>
        <w:ind w:left="0" w:firstLine="0"/>
        <w:jc w:val="left"/>
        <w:rPr>
          <w:sz w:val="24"/>
        </w:rPr>
      </w:pPr>
    </w:p>
    <w:p w14:paraId="0F9E9D75" w14:textId="77777777" w:rsidR="0092721B" w:rsidRDefault="008834D1">
      <w:pPr>
        <w:spacing w:before="1"/>
        <w:ind w:left="772"/>
        <w:rPr>
          <w:sz w:val="16"/>
        </w:rPr>
      </w:pPr>
      <w:r>
        <w:pict w14:anchorId="31B47A76">
          <v:group id="docshapegroup21" o:spid="_x0000_s1055" alt="" style="position:absolute;left:0;text-align:left;margin-left:108pt;margin-top:70.5pt;width:141.9pt;height:.3pt;z-index:-16263168;mso-position-horizontal-relative:page" coordorigin="2160,1410" coordsize="2838,6">
            <v:line id="_x0000_s1056" alt="" style="position:absolute" from="2160,1413" to="3470,1413" strokecolor="#939598" strokeweight=".3pt"/>
            <v:line id="_x0000_s1057" alt="" style="position:absolute" from="3470,1413" to="4998,1413" strokecolor="#939598" strokeweight=".3pt"/>
            <w10:wrap anchorx="page"/>
          </v:group>
        </w:pict>
      </w:r>
      <w:r>
        <w:pict w14:anchorId="44F388EE">
          <v:group id="docshapegroup22" o:spid="_x0000_s1052" alt="" style="position:absolute;left:0;text-align:left;margin-left:108pt;margin-top:47.5pt;width:141.9pt;height:.3pt;z-index:-16262656;mso-position-horizontal-relative:page" coordorigin="2160,950" coordsize="2838,6">
            <v:line id="_x0000_s1053" alt="" style="position:absolute" from="2160,953" to="3470,953" strokecolor="#939598" strokeweight=".3pt"/>
            <v:line id="_x0000_s1054" alt="" style="position:absolute" from="3470,953" to="4998,953" strokecolor="#939598" strokeweight=".3pt"/>
            <w10:wrap anchorx="page"/>
          </v:group>
        </w:pict>
      </w:r>
      <w:r>
        <w:pict w14:anchorId="16BD0E56">
          <v:group id="docshapegroup23" o:spid="_x0000_s1049" alt="" style="position:absolute;left:0;text-align:left;margin-left:108.7pt;margin-top:-25.9pt;width:131pt;height:.3pt;z-index:-16262144;mso-position-horizontal-relative:page" coordorigin="2174,-518" coordsize="2620,6">
            <v:line id="_x0000_s1050" alt="" style="position:absolute" from="2174,-515" to="3483,-515" strokecolor="#939598" strokeweight=".3pt"/>
            <v:line id="_x0000_s1051" alt="" style="position:absolute" from="3483,-515" to="4793,-515" strokecolor="#939598" strokeweight=".3pt"/>
            <w10:wrap anchorx="page"/>
          </v:group>
        </w:pict>
      </w:r>
      <w:r>
        <w:pict w14:anchorId="20F38FB5">
          <v:group id="docshapegroup24" o:spid="_x0000_s1046" alt="" style="position:absolute;left:0;text-align:left;margin-left:108.7pt;margin-top:-48.85pt;width:131pt;height:.3pt;z-index:-16261632;mso-position-horizontal-relative:page" coordorigin="2174,-977" coordsize="2620,6">
            <v:line id="_x0000_s1047" alt="" style="position:absolute" from="2174,-974" to="3483,-974" strokecolor="#939598" strokeweight=".3pt"/>
            <v:line id="_x0000_s1048" alt="" style="position:absolute" from="3483,-974" to="4793,-974" strokecolor="#939598" strokeweight=".3pt"/>
            <w10:wrap anchorx="page"/>
          </v:group>
        </w:pict>
      </w:r>
      <w:r>
        <w:pict w14:anchorId="42D0158E">
          <v:group id="docshapegroup25" o:spid="_x0000_s1043" alt="" style="position:absolute;left:0;text-align:left;margin-left:108.7pt;margin-top:-71.85pt;width:131pt;height:.3pt;z-index:-16261120;mso-position-horizontal-relative:page" coordorigin="2174,-1437" coordsize="2620,6">
            <v:line id="_x0000_s1044" alt="" style="position:absolute" from="2174,-1434" to="3483,-1434" strokecolor="#939598" strokeweight=".3pt"/>
            <v:line id="_x0000_s1045" alt="" style="position:absolute" from="3483,-1434" to="4793,-1434" strokecolor="#939598" strokeweight=".3pt"/>
            <w10:wrap anchorx="page"/>
          </v:group>
        </w:pict>
      </w:r>
      <w:r>
        <w:pict w14:anchorId="458FF530">
          <v:group id="docshapegroup26" o:spid="_x0000_s1040" alt="" style="position:absolute;left:0;text-align:left;margin-left:108.7pt;margin-top:-94.85pt;width:131pt;height:.3pt;z-index:-16260608;mso-position-horizontal-relative:page" coordorigin="2174,-1897" coordsize="2620,6">
            <v:line id="_x0000_s1041" alt="" style="position:absolute" from="2174,-1894" to="3483,-1894" strokecolor="#939598" strokeweight=".3pt"/>
            <v:line id="_x0000_s1042" alt="" style="position:absolute" from="3483,-1894" to="4793,-1894" strokecolor="#939598" strokeweight=".3pt"/>
            <w10:wrap anchorx="page"/>
          </v:group>
        </w:pict>
      </w:r>
      <w:r w:rsidR="00D22738">
        <w:rPr>
          <w:b/>
          <w:w w:val="80"/>
          <w:sz w:val="16"/>
        </w:rPr>
        <w:t>表2:</w:t>
      </w:r>
      <w:r w:rsidR="00D22738">
        <w:rPr>
          <w:w w:val="80"/>
          <w:sz w:val="16"/>
        </w:rPr>
        <w:t>VASスケールの</w:t>
      </w:r>
      <w:r w:rsidR="00D22738">
        <w:rPr>
          <w:color w:val="0D0D0D"/>
          <w:w w:val="80"/>
          <w:sz w:val="16"/>
        </w:rPr>
        <w:t>Wilcoxon-Mann-Whitney検定（</w:t>
      </w:r>
      <w:r w:rsidR="00D22738">
        <w:rPr>
          <w:rFonts w:ascii="Courier New" w:hAnsi="Courier New"/>
          <w:color w:val="0D0D0D"/>
          <w:w w:val="80"/>
          <w:sz w:val="16"/>
        </w:rPr>
        <w:t>α</w:t>
      </w:r>
      <w:r w:rsidR="00D22738">
        <w:rPr>
          <w:color w:val="0D0D0D"/>
          <w:w w:val="80"/>
          <w:sz w:val="16"/>
        </w:rPr>
        <w:t>：95％）による</w:t>
      </w:r>
      <w:r w:rsidR="00D22738">
        <w:rPr>
          <w:w w:val="80"/>
          <w:sz w:val="16"/>
        </w:rPr>
        <w:t>対照群と実験群の比較の結果。</w:t>
      </w:r>
    </w:p>
    <w:p w14:paraId="530B5863" w14:textId="77777777" w:rsidR="0092721B" w:rsidRDefault="0092721B">
      <w:pPr>
        <w:pStyle w:val="a3"/>
        <w:spacing w:before="8"/>
        <w:ind w:left="0" w:firstLine="0"/>
        <w:jc w:val="left"/>
        <w:rPr>
          <w:sz w:val="5"/>
        </w:rPr>
      </w:pPr>
    </w:p>
    <w:tbl>
      <w:tblPr>
        <w:tblStyle w:val="TableNormal"/>
        <w:tblW w:w="0" w:type="auto"/>
        <w:tblInd w:w="136" w:type="dxa"/>
        <w:tblLayout w:type="fixed"/>
        <w:tblLook w:val="01E0" w:firstRow="1" w:lastRow="1" w:firstColumn="1" w:lastColumn="1" w:noHBand="0" w:noVBand="0"/>
      </w:tblPr>
      <w:tblGrid>
        <w:gridCol w:w="1413"/>
        <w:gridCol w:w="1187"/>
        <w:gridCol w:w="1513"/>
        <w:gridCol w:w="1164"/>
        <w:gridCol w:w="1456"/>
        <w:gridCol w:w="1164"/>
        <w:gridCol w:w="1456"/>
        <w:gridCol w:w="1141"/>
      </w:tblGrid>
      <w:tr w:rsidR="0092721B" w14:paraId="505E1CC3" w14:textId="77777777">
        <w:trPr>
          <w:trHeight w:val="445"/>
        </w:trPr>
        <w:tc>
          <w:tcPr>
            <w:tcW w:w="1413" w:type="dxa"/>
            <w:tcBorders>
              <w:top w:val="single" w:sz="4" w:space="0" w:color="939598"/>
              <w:bottom w:val="single" w:sz="4" w:space="0" w:color="939598"/>
            </w:tcBorders>
          </w:tcPr>
          <w:p w14:paraId="754AA15B" w14:textId="77777777" w:rsidR="0092721B" w:rsidRDefault="00D22738">
            <w:pPr>
              <w:pStyle w:val="TableParagraph"/>
              <w:spacing w:before="147"/>
              <w:ind w:left="196" w:right="294"/>
              <w:rPr>
                <w:b/>
                <w:sz w:val="16"/>
              </w:rPr>
            </w:pPr>
            <w:r>
              <w:rPr>
                <w:b/>
                <w:w w:val="80"/>
                <w:sz w:val="16"/>
              </w:rPr>
              <w:t>VASスケール</w:t>
            </w:r>
          </w:p>
        </w:tc>
        <w:tc>
          <w:tcPr>
            <w:tcW w:w="1187" w:type="dxa"/>
            <w:tcBorders>
              <w:top w:val="single" w:sz="4" w:space="0" w:color="939598"/>
              <w:bottom w:val="single" w:sz="4" w:space="0" w:color="939598"/>
            </w:tcBorders>
          </w:tcPr>
          <w:p w14:paraId="4B1D26A1" w14:textId="77777777" w:rsidR="0092721B" w:rsidRDefault="00D22738">
            <w:pPr>
              <w:pStyle w:val="TableParagraph"/>
              <w:spacing w:before="147"/>
              <w:ind w:left="356"/>
              <w:jc w:val="left"/>
              <w:rPr>
                <w:b/>
                <w:sz w:val="16"/>
              </w:rPr>
            </w:pPr>
            <w:r>
              <w:rPr>
                <w:b/>
                <w:w w:val="90"/>
                <w:sz w:val="16"/>
              </w:rPr>
              <w:t>グループ</w:t>
            </w:r>
          </w:p>
        </w:tc>
        <w:tc>
          <w:tcPr>
            <w:tcW w:w="2677" w:type="dxa"/>
            <w:gridSpan w:val="2"/>
            <w:tcBorders>
              <w:top w:val="single" w:sz="4" w:space="0" w:color="939598"/>
              <w:bottom w:val="single" w:sz="4" w:space="0" w:color="939598"/>
            </w:tcBorders>
          </w:tcPr>
          <w:p w14:paraId="385FD105" w14:textId="77777777" w:rsidR="0092721B" w:rsidRDefault="00D22738">
            <w:pPr>
              <w:pStyle w:val="TableParagraph"/>
              <w:spacing w:before="45" w:line="190" w:lineRule="atLeast"/>
              <w:ind w:left="685" w:right="698" w:firstLine="470"/>
              <w:jc w:val="left"/>
              <w:rPr>
                <w:b/>
                <w:sz w:val="16"/>
                <w:lang w:eastAsia="ja-JP"/>
              </w:rPr>
            </w:pPr>
            <w:r>
              <w:rPr>
                <w:b/>
                <w:w w:val="90"/>
                <w:sz w:val="16"/>
                <w:lang w:eastAsia="ja-JP"/>
              </w:rPr>
              <w:t>日目の</w:t>
            </w:r>
            <w:r>
              <w:rPr>
                <w:b/>
                <w:w w:val="80"/>
                <w:sz w:val="16"/>
                <w:lang w:eastAsia="ja-JP"/>
              </w:rPr>
              <w:t>中央値（IC）｜</w:t>
            </w:r>
            <w:r>
              <w:rPr>
                <w:rFonts w:ascii="Arial-BoldItalicMT"/>
                <w:b/>
                <w:i/>
                <w:w w:val="80"/>
                <w:sz w:val="16"/>
                <w:lang w:eastAsia="ja-JP"/>
              </w:rPr>
              <w:t>P</w:t>
            </w:r>
            <w:r>
              <w:rPr>
                <w:b/>
                <w:w w:val="80"/>
                <w:sz w:val="16"/>
                <w:lang w:eastAsia="ja-JP"/>
              </w:rPr>
              <w:t>値</w:t>
            </w:r>
          </w:p>
        </w:tc>
        <w:tc>
          <w:tcPr>
            <w:tcW w:w="2620" w:type="dxa"/>
            <w:gridSpan w:val="2"/>
            <w:tcBorders>
              <w:top w:val="single" w:sz="4" w:space="0" w:color="939598"/>
              <w:bottom w:val="single" w:sz="4" w:space="0" w:color="939598"/>
            </w:tcBorders>
          </w:tcPr>
          <w:p w14:paraId="4EE2812F" w14:textId="77777777" w:rsidR="0092721B" w:rsidRDefault="00D22738">
            <w:pPr>
              <w:pStyle w:val="TableParagraph"/>
              <w:spacing w:before="45" w:line="190" w:lineRule="atLeast"/>
              <w:ind w:left="627" w:right="699" w:firstLine="470"/>
              <w:jc w:val="left"/>
              <w:rPr>
                <w:b/>
                <w:sz w:val="16"/>
              </w:rPr>
            </w:pPr>
            <w:r>
              <w:rPr>
                <w:b/>
                <w:w w:val="90"/>
                <w:sz w:val="16"/>
              </w:rPr>
              <w:t>7日目の</w:t>
            </w:r>
            <w:r>
              <w:rPr>
                <w:b/>
                <w:w w:val="80"/>
                <w:sz w:val="16"/>
              </w:rPr>
              <w:t>中央値（IC）｜</w:t>
            </w:r>
            <w:r>
              <w:rPr>
                <w:rFonts w:ascii="Arial-BoldItalicMT"/>
                <w:b/>
                <w:i/>
                <w:w w:val="80"/>
                <w:sz w:val="16"/>
              </w:rPr>
              <w:t>P-</w:t>
            </w:r>
            <w:r>
              <w:rPr>
                <w:b/>
                <w:w w:val="80"/>
                <w:sz w:val="16"/>
              </w:rPr>
              <w:t>value</w:t>
            </w:r>
          </w:p>
        </w:tc>
        <w:tc>
          <w:tcPr>
            <w:tcW w:w="2597" w:type="dxa"/>
            <w:gridSpan w:val="2"/>
            <w:tcBorders>
              <w:top w:val="single" w:sz="4" w:space="0" w:color="939598"/>
              <w:bottom w:val="single" w:sz="4" w:space="0" w:color="939598"/>
            </w:tcBorders>
          </w:tcPr>
          <w:p w14:paraId="6282D624" w14:textId="77777777" w:rsidR="0092721B" w:rsidRDefault="00D22738">
            <w:pPr>
              <w:pStyle w:val="TableParagraph"/>
              <w:spacing w:before="45" w:line="190" w:lineRule="atLeast"/>
              <w:ind w:left="627" w:right="644" w:firstLine="433"/>
              <w:jc w:val="left"/>
              <w:rPr>
                <w:b/>
                <w:sz w:val="16"/>
                <w:lang w:eastAsia="ja-JP"/>
              </w:rPr>
            </w:pPr>
            <w:r>
              <w:rPr>
                <w:b/>
                <w:w w:val="90"/>
                <w:sz w:val="16"/>
                <w:lang w:eastAsia="ja-JP"/>
              </w:rPr>
              <w:t>14日目の</w:t>
            </w:r>
            <w:r>
              <w:rPr>
                <w:b/>
                <w:w w:val="80"/>
                <w:sz w:val="16"/>
                <w:lang w:eastAsia="ja-JP"/>
              </w:rPr>
              <w:t>中央値（IC）｜</w:t>
            </w:r>
            <w:r>
              <w:rPr>
                <w:rFonts w:ascii="Arial-BoldItalicMT"/>
                <w:b/>
                <w:i/>
                <w:w w:val="80"/>
                <w:sz w:val="16"/>
                <w:lang w:eastAsia="ja-JP"/>
              </w:rPr>
              <w:t>P</w:t>
            </w:r>
            <w:r>
              <w:rPr>
                <w:b/>
                <w:w w:val="80"/>
                <w:sz w:val="16"/>
                <w:lang w:eastAsia="ja-JP"/>
              </w:rPr>
              <w:t>値</w:t>
            </w:r>
          </w:p>
        </w:tc>
      </w:tr>
      <w:tr w:rsidR="0092721B" w14:paraId="2CCFF482" w14:textId="77777777">
        <w:trPr>
          <w:trHeight w:val="449"/>
        </w:trPr>
        <w:tc>
          <w:tcPr>
            <w:tcW w:w="1413" w:type="dxa"/>
            <w:tcBorders>
              <w:top w:val="single" w:sz="4" w:space="0" w:color="939598"/>
              <w:bottom w:val="single" w:sz="4" w:space="0" w:color="939598"/>
            </w:tcBorders>
          </w:tcPr>
          <w:p w14:paraId="45823E14" w14:textId="77777777" w:rsidR="0092721B" w:rsidRDefault="00D22738">
            <w:pPr>
              <w:pStyle w:val="TableParagraph"/>
              <w:spacing w:before="133"/>
              <w:ind w:left="196" w:right="294"/>
              <w:rPr>
                <w:sz w:val="16"/>
              </w:rPr>
            </w:pPr>
            <w:r>
              <w:rPr>
                <w:w w:val="80"/>
                <w:sz w:val="16"/>
              </w:rPr>
              <w:t>喉の痛み</w:t>
            </w:r>
          </w:p>
        </w:tc>
        <w:tc>
          <w:tcPr>
            <w:tcW w:w="1187" w:type="dxa"/>
            <w:tcBorders>
              <w:top w:val="single" w:sz="4" w:space="0" w:color="939598"/>
              <w:bottom w:val="single" w:sz="4" w:space="0" w:color="939598"/>
            </w:tcBorders>
          </w:tcPr>
          <w:p w14:paraId="30946BEB" w14:textId="77777777" w:rsidR="0092721B" w:rsidRDefault="00D22738">
            <w:pPr>
              <w:pStyle w:val="TableParagraph"/>
              <w:ind w:left="408" w:right="487"/>
              <w:rPr>
                <w:sz w:val="16"/>
              </w:rPr>
            </w:pPr>
            <w:r>
              <w:rPr>
                <w:w w:val="90"/>
                <w:sz w:val="16"/>
              </w:rPr>
              <w:t>Ctrl</w:t>
            </w:r>
          </w:p>
          <w:p w14:paraId="48FCEA5E" w14:textId="77777777" w:rsidR="0092721B" w:rsidRDefault="00D22738">
            <w:pPr>
              <w:pStyle w:val="TableParagraph"/>
              <w:spacing w:before="46" w:line="182" w:lineRule="exact"/>
              <w:ind w:left="409" w:right="487"/>
              <w:rPr>
                <w:sz w:val="16"/>
              </w:rPr>
            </w:pPr>
            <w:r>
              <w:rPr>
                <w:w w:val="90"/>
                <w:sz w:val="16"/>
              </w:rPr>
              <w:t>Exp</w:t>
            </w:r>
          </w:p>
        </w:tc>
        <w:tc>
          <w:tcPr>
            <w:tcW w:w="1513" w:type="dxa"/>
            <w:tcBorders>
              <w:top w:val="single" w:sz="4" w:space="0" w:color="939598"/>
              <w:bottom w:val="single" w:sz="4" w:space="0" w:color="939598"/>
            </w:tcBorders>
          </w:tcPr>
          <w:p w14:paraId="29B7E361" w14:textId="77777777" w:rsidR="0092721B" w:rsidRDefault="00D22738">
            <w:pPr>
              <w:pStyle w:val="TableParagraph"/>
              <w:ind w:left="438"/>
              <w:jc w:val="left"/>
              <w:rPr>
                <w:sz w:val="16"/>
              </w:rPr>
            </w:pPr>
            <w:r>
              <w:rPr>
                <w:w w:val="85"/>
                <w:sz w:val="16"/>
              </w:rPr>
              <w:t>3,1 IC ± 0,6</w:t>
            </w:r>
          </w:p>
          <w:p w14:paraId="0E9AC1CE" w14:textId="77777777" w:rsidR="0092721B" w:rsidRDefault="00D22738">
            <w:pPr>
              <w:pStyle w:val="TableParagraph"/>
              <w:spacing w:before="46" w:line="182" w:lineRule="exact"/>
              <w:ind w:left="438"/>
              <w:jc w:val="left"/>
              <w:rPr>
                <w:sz w:val="16"/>
              </w:rPr>
            </w:pPr>
            <w:r>
              <w:rPr>
                <w:w w:val="85"/>
                <w:sz w:val="16"/>
              </w:rPr>
              <w:t>3,2 IC ± 0,9</w:t>
            </w:r>
          </w:p>
        </w:tc>
        <w:tc>
          <w:tcPr>
            <w:tcW w:w="1164" w:type="dxa"/>
            <w:tcBorders>
              <w:top w:val="single" w:sz="4" w:space="0" w:color="939598"/>
              <w:bottom w:val="single" w:sz="4" w:space="0" w:color="939598"/>
            </w:tcBorders>
          </w:tcPr>
          <w:p w14:paraId="6209ACD6" w14:textId="77777777" w:rsidR="0092721B" w:rsidRDefault="00D22738">
            <w:pPr>
              <w:pStyle w:val="TableParagraph"/>
              <w:spacing w:before="133"/>
              <w:ind w:left="341" w:right="341"/>
              <w:rPr>
                <w:sz w:val="16"/>
              </w:rPr>
            </w:pPr>
            <w:r>
              <w:rPr>
                <w:w w:val="90"/>
                <w:sz w:val="16"/>
              </w:rPr>
              <w:t>0,9670</w:t>
            </w:r>
          </w:p>
        </w:tc>
        <w:tc>
          <w:tcPr>
            <w:tcW w:w="1456" w:type="dxa"/>
            <w:tcBorders>
              <w:top w:val="single" w:sz="4" w:space="0" w:color="939598"/>
              <w:bottom w:val="single" w:sz="4" w:space="0" w:color="939598"/>
            </w:tcBorders>
          </w:tcPr>
          <w:p w14:paraId="28388601" w14:textId="77777777" w:rsidR="0092721B" w:rsidRDefault="00D22738">
            <w:pPr>
              <w:pStyle w:val="TableParagraph"/>
              <w:tabs>
                <w:tab w:val="left" w:pos="380"/>
                <w:tab w:val="left" w:pos="1491"/>
              </w:tabs>
              <w:ind w:left="-37" w:right="-44"/>
              <w:rPr>
                <w:sz w:val="16"/>
              </w:rPr>
            </w:pPr>
            <w:r>
              <w:rPr>
                <w:sz w:val="16"/>
                <w:u w:val="single" w:color="939598"/>
              </w:rPr>
              <w:tab/>
            </w:r>
            <w:r>
              <w:rPr>
                <w:w w:val="85"/>
                <w:sz w:val="16"/>
                <w:u w:val="single" w:color="939598"/>
              </w:rPr>
              <w:t>2,1 IC ± 0,4</w:t>
            </w:r>
            <w:r>
              <w:rPr>
                <w:sz w:val="16"/>
                <w:u w:val="single" w:color="939598"/>
              </w:rPr>
              <w:tab/>
            </w:r>
          </w:p>
          <w:p w14:paraId="1B799C4C" w14:textId="77777777" w:rsidR="0092721B" w:rsidRDefault="00D22738">
            <w:pPr>
              <w:pStyle w:val="TableParagraph"/>
              <w:spacing w:before="46" w:line="182" w:lineRule="exact"/>
              <w:ind w:left="360" w:right="360"/>
              <w:rPr>
                <w:sz w:val="16"/>
              </w:rPr>
            </w:pPr>
            <w:r>
              <w:rPr>
                <w:w w:val="85"/>
                <w:sz w:val="16"/>
              </w:rPr>
              <w:t>0,0 IC ± 0,0</w:t>
            </w:r>
          </w:p>
        </w:tc>
        <w:tc>
          <w:tcPr>
            <w:tcW w:w="1164" w:type="dxa"/>
            <w:tcBorders>
              <w:top w:val="single" w:sz="4" w:space="0" w:color="939598"/>
              <w:bottom w:val="single" w:sz="4" w:space="0" w:color="939598"/>
            </w:tcBorders>
          </w:tcPr>
          <w:p w14:paraId="236DD179" w14:textId="77777777" w:rsidR="0092721B" w:rsidRDefault="00D22738">
            <w:pPr>
              <w:pStyle w:val="TableParagraph"/>
              <w:spacing w:before="133"/>
              <w:ind w:right="380"/>
              <w:jc w:val="right"/>
              <w:rPr>
                <w:sz w:val="16"/>
              </w:rPr>
            </w:pPr>
            <w:r>
              <w:rPr>
                <w:w w:val="90"/>
                <w:sz w:val="16"/>
              </w:rPr>
              <w:t>0,0000</w:t>
            </w:r>
          </w:p>
        </w:tc>
        <w:tc>
          <w:tcPr>
            <w:tcW w:w="1456" w:type="dxa"/>
            <w:tcBorders>
              <w:top w:val="single" w:sz="4" w:space="0" w:color="939598"/>
              <w:bottom w:val="single" w:sz="4" w:space="0" w:color="939598"/>
            </w:tcBorders>
          </w:tcPr>
          <w:p w14:paraId="4709DBD5" w14:textId="77777777" w:rsidR="0092721B" w:rsidRDefault="00D22738">
            <w:pPr>
              <w:pStyle w:val="TableParagraph"/>
              <w:tabs>
                <w:tab w:val="left" w:pos="380"/>
                <w:tab w:val="left" w:pos="1490"/>
              </w:tabs>
              <w:ind w:left="-38" w:right="-44"/>
              <w:rPr>
                <w:sz w:val="16"/>
              </w:rPr>
            </w:pPr>
            <w:r>
              <w:rPr>
                <w:sz w:val="16"/>
                <w:u w:val="single" w:color="939598"/>
              </w:rPr>
              <w:tab/>
            </w:r>
            <w:r>
              <w:rPr>
                <w:w w:val="85"/>
                <w:sz w:val="16"/>
                <w:u w:val="single" w:color="939598"/>
              </w:rPr>
              <w:t>1,3 IC ± 0,3</w:t>
            </w:r>
            <w:r>
              <w:rPr>
                <w:sz w:val="16"/>
                <w:u w:val="single" w:color="939598"/>
              </w:rPr>
              <w:tab/>
            </w:r>
          </w:p>
          <w:p w14:paraId="60436227" w14:textId="77777777" w:rsidR="0092721B" w:rsidRDefault="00D22738">
            <w:pPr>
              <w:pStyle w:val="TableParagraph"/>
              <w:spacing w:before="46" w:line="182" w:lineRule="exact"/>
              <w:ind w:left="359" w:right="360"/>
              <w:rPr>
                <w:sz w:val="16"/>
              </w:rPr>
            </w:pPr>
            <w:r>
              <w:rPr>
                <w:w w:val="85"/>
                <w:sz w:val="16"/>
              </w:rPr>
              <w:t>0,0 IC ± 0,0</w:t>
            </w:r>
          </w:p>
        </w:tc>
        <w:tc>
          <w:tcPr>
            <w:tcW w:w="1141" w:type="dxa"/>
            <w:tcBorders>
              <w:top w:val="single" w:sz="4" w:space="0" w:color="939598"/>
              <w:bottom w:val="single" w:sz="4" w:space="0" w:color="939598"/>
            </w:tcBorders>
          </w:tcPr>
          <w:p w14:paraId="141961F7" w14:textId="77777777" w:rsidR="0092721B" w:rsidRDefault="00D22738">
            <w:pPr>
              <w:pStyle w:val="TableParagraph"/>
              <w:spacing w:before="133"/>
              <w:ind w:left="380"/>
              <w:jc w:val="left"/>
              <w:rPr>
                <w:sz w:val="16"/>
              </w:rPr>
            </w:pPr>
            <w:r>
              <w:rPr>
                <w:w w:val="90"/>
                <w:sz w:val="16"/>
              </w:rPr>
              <w:t>0,0000</w:t>
            </w:r>
          </w:p>
        </w:tc>
      </w:tr>
      <w:tr w:rsidR="0092721B" w14:paraId="158B24E0" w14:textId="77777777">
        <w:trPr>
          <w:trHeight w:val="449"/>
        </w:trPr>
        <w:tc>
          <w:tcPr>
            <w:tcW w:w="1413" w:type="dxa"/>
            <w:tcBorders>
              <w:top w:val="single" w:sz="4" w:space="0" w:color="939598"/>
              <w:bottom w:val="single" w:sz="4" w:space="0" w:color="939598"/>
            </w:tcBorders>
          </w:tcPr>
          <w:p w14:paraId="40E3E669" w14:textId="77777777" w:rsidR="0092721B" w:rsidRDefault="00D22738">
            <w:pPr>
              <w:pStyle w:val="TableParagraph"/>
              <w:spacing w:before="133"/>
              <w:ind w:left="196" w:right="294"/>
              <w:rPr>
                <w:sz w:val="16"/>
              </w:rPr>
            </w:pPr>
            <w:r>
              <w:rPr>
                <w:w w:val="90"/>
                <w:sz w:val="16"/>
              </w:rPr>
              <w:t>頭痛</w:t>
            </w:r>
          </w:p>
        </w:tc>
        <w:tc>
          <w:tcPr>
            <w:tcW w:w="1187" w:type="dxa"/>
            <w:tcBorders>
              <w:top w:val="single" w:sz="4" w:space="0" w:color="939598"/>
              <w:bottom w:val="single" w:sz="4" w:space="0" w:color="939598"/>
            </w:tcBorders>
          </w:tcPr>
          <w:p w14:paraId="020B130E" w14:textId="77777777" w:rsidR="0092721B" w:rsidRDefault="00D22738">
            <w:pPr>
              <w:pStyle w:val="TableParagraph"/>
              <w:ind w:left="409" w:right="487"/>
              <w:rPr>
                <w:sz w:val="16"/>
              </w:rPr>
            </w:pPr>
            <w:r>
              <w:rPr>
                <w:w w:val="90"/>
                <w:sz w:val="16"/>
              </w:rPr>
              <w:t>Ctrl</w:t>
            </w:r>
          </w:p>
          <w:p w14:paraId="7DE6A971" w14:textId="77777777" w:rsidR="0092721B" w:rsidRDefault="00D22738">
            <w:pPr>
              <w:pStyle w:val="TableParagraph"/>
              <w:spacing w:before="46" w:line="182" w:lineRule="exact"/>
              <w:ind w:left="409" w:right="487"/>
              <w:rPr>
                <w:sz w:val="16"/>
              </w:rPr>
            </w:pPr>
            <w:r>
              <w:rPr>
                <w:w w:val="90"/>
                <w:sz w:val="16"/>
              </w:rPr>
              <w:t>Exp</w:t>
            </w:r>
          </w:p>
        </w:tc>
        <w:tc>
          <w:tcPr>
            <w:tcW w:w="1513" w:type="dxa"/>
            <w:tcBorders>
              <w:top w:val="single" w:sz="4" w:space="0" w:color="939598"/>
              <w:bottom w:val="single" w:sz="4" w:space="0" w:color="939598"/>
            </w:tcBorders>
          </w:tcPr>
          <w:p w14:paraId="14FF5E73" w14:textId="77777777" w:rsidR="0092721B" w:rsidRDefault="00D22738">
            <w:pPr>
              <w:pStyle w:val="TableParagraph"/>
              <w:ind w:left="438"/>
              <w:jc w:val="left"/>
              <w:rPr>
                <w:sz w:val="16"/>
              </w:rPr>
            </w:pPr>
            <w:r>
              <w:rPr>
                <w:w w:val="85"/>
                <w:sz w:val="16"/>
              </w:rPr>
              <w:t>2,9 IC ± 0,5</w:t>
            </w:r>
          </w:p>
          <w:p w14:paraId="23D718B4" w14:textId="77777777" w:rsidR="0092721B" w:rsidRDefault="00D22738">
            <w:pPr>
              <w:pStyle w:val="TableParagraph"/>
              <w:spacing w:before="46" w:line="182" w:lineRule="exact"/>
              <w:ind w:left="438"/>
              <w:jc w:val="left"/>
              <w:rPr>
                <w:sz w:val="16"/>
              </w:rPr>
            </w:pPr>
            <w:r>
              <w:rPr>
                <w:w w:val="85"/>
                <w:sz w:val="16"/>
              </w:rPr>
              <w:t>2,6 IC ± 0,8</w:t>
            </w:r>
          </w:p>
        </w:tc>
        <w:tc>
          <w:tcPr>
            <w:tcW w:w="1164" w:type="dxa"/>
            <w:tcBorders>
              <w:top w:val="single" w:sz="4" w:space="0" w:color="939598"/>
              <w:bottom w:val="single" w:sz="4" w:space="0" w:color="939598"/>
            </w:tcBorders>
          </w:tcPr>
          <w:p w14:paraId="0DDB6A57" w14:textId="77777777" w:rsidR="0092721B" w:rsidRDefault="00D22738">
            <w:pPr>
              <w:pStyle w:val="TableParagraph"/>
              <w:spacing w:before="133"/>
              <w:ind w:left="341" w:right="341"/>
              <w:rPr>
                <w:sz w:val="16"/>
              </w:rPr>
            </w:pPr>
            <w:r>
              <w:rPr>
                <w:w w:val="90"/>
                <w:sz w:val="16"/>
              </w:rPr>
              <w:t>0,2665</w:t>
            </w:r>
          </w:p>
        </w:tc>
        <w:tc>
          <w:tcPr>
            <w:tcW w:w="1456" w:type="dxa"/>
            <w:tcBorders>
              <w:top w:val="single" w:sz="4" w:space="0" w:color="939598"/>
              <w:bottom w:val="single" w:sz="4" w:space="0" w:color="939598"/>
            </w:tcBorders>
          </w:tcPr>
          <w:p w14:paraId="358B40E1" w14:textId="77777777" w:rsidR="0092721B" w:rsidRDefault="00D22738">
            <w:pPr>
              <w:pStyle w:val="TableParagraph"/>
              <w:tabs>
                <w:tab w:val="left" w:pos="381"/>
                <w:tab w:val="left" w:pos="1491"/>
              </w:tabs>
              <w:ind w:left="-37" w:right="-44"/>
              <w:rPr>
                <w:sz w:val="16"/>
              </w:rPr>
            </w:pPr>
            <w:r>
              <w:rPr>
                <w:sz w:val="16"/>
                <w:u w:val="single" w:color="939598"/>
              </w:rPr>
              <w:tab/>
            </w:r>
            <w:r>
              <w:rPr>
                <w:w w:val="85"/>
                <w:sz w:val="16"/>
                <w:u w:val="single" w:color="939598"/>
              </w:rPr>
              <w:t>2,9 IC ± 0,4</w:t>
            </w:r>
            <w:r>
              <w:rPr>
                <w:sz w:val="16"/>
                <w:u w:val="single" w:color="939598"/>
              </w:rPr>
              <w:tab/>
            </w:r>
          </w:p>
          <w:p w14:paraId="3A44D733" w14:textId="77777777" w:rsidR="0092721B" w:rsidRDefault="00D22738">
            <w:pPr>
              <w:pStyle w:val="TableParagraph"/>
              <w:spacing w:before="46" w:line="182" w:lineRule="exact"/>
              <w:ind w:left="360" w:right="360"/>
              <w:rPr>
                <w:sz w:val="16"/>
              </w:rPr>
            </w:pPr>
            <w:r>
              <w:rPr>
                <w:w w:val="85"/>
                <w:sz w:val="16"/>
              </w:rPr>
              <w:t>0.5 IC ± 0.2</w:t>
            </w:r>
          </w:p>
        </w:tc>
        <w:tc>
          <w:tcPr>
            <w:tcW w:w="1164" w:type="dxa"/>
            <w:tcBorders>
              <w:top w:val="single" w:sz="4" w:space="0" w:color="939598"/>
              <w:bottom w:val="single" w:sz="4" w:space="0" w:color="939598"/>
            </w:tcBorders>
          </w:tcPr>
          <w:p w14:paraId="7E0082BC" w14:textId="77777777" w:rsidR="0092721B" w:rsidRDefault="00D22738">
            <w:pPr>
              <w:pStyle w:val="TableParagraph"/>
              <w:spacing w:before="133"/>
              <w:ind w:right="379"/>
              <w:jc w:val="right"/>
              <w:rPr>
                <w:sz w:val="16"/>
              </w:rPr>
            </w:pPr>
            <w:r>
              <w:rPr>
                <w:w w:val="90"/>
                <w:sz w:val="16"/>
              </w:rPr>
              <w:t>0,0000</w:t>
            </w:r>
          </w:p>
        </w:tc>
        <w:tc>
          <w:tcPr>
            <w:tcW w:w="1456" w:type="dxa"/>
            <w:tcBorders>
              <w:top w:val="single" w:sz="4" w:space="0" w:color="939598"/>
              <w:bottom w:val="single" w:sz="4" w:space="0" w:color="939598"/>
            </w:tcBorders>
          </w:tcPr>
          <w:p w14:paraId="74A463E0" w14:textId="77777777" w:rsidR="0092721B" w:rsidRDefault="00D22738">
            <w:pPr>
              <w:pStyle w:val="TableParagraph"/>
              <w:tabs>
                <w:tab w:val="left" w:pos="380"/>
                <w:tab w:val="left" w:pos="1490"/>
              </w:tabs>
              <w:ind w:left="-38" w:right="-44"/>
              <w:rPr>
                <w:sz w:val="16"/>
              </w:rPr>
            </w:pPr>
            <w:r>
              <w:rPr>
                <w:sz w:val="16"/>
                <w:u w:val="single" w:color="939598"/>
              </w:rPr>
              <w:tab/>
            </w:r>
            <w:r>
              <w:rPr>
                <w:w w:val="85"/>
                <w:sz w:val="16"/>
                <w:u w:val="single" w:color="939598"/>
              </w:rPr>
              <w:t>2,5 IC ± 0,4</w:t>
            </w:r>
            <w:r>
              <w:rPr>
                <w:sz w:val="16"/>
                <w:u w:val="single" w:color="939598"/>
              </w:rPr>
              <w:tab/>
            </w:r>
          </w:p>
          <w:p w14:paraId="619872B2" w14:textId="77777777" w:rsidR="0092721B" w:rsidRDefault="00D22738">
            <w:pPr>
              <w:pStyle w:val="TableParagraph"/>
              <w:spacing w:before="46" w:line="182" w:lineRule="exact"/>
              <w:ind w:left="359" w:right="360"/>
              <w:rPr>
                <w:sz w:val="16"/>
              </w:rPr>
            </w:pPr>
            <w:r>
              <w:rPr>
                <w:w w:val="85"/>
                <w:sz w:val="16"/>
              </w:rPr>
              <w:t>0.4 IC ± 0.2</w:t>
            </w:r>
          </w:p>
        </w:tc>
        <w:tc>
          <w:tcPr>
            <w:tcW w:w="1141" w:type="dxa"/>
            <w:tcBorders>
              <w:top w:val="single" w:sz="4" w:space="0" w:color="939598"/>
              <w:bottom w:val="single" w:sz="4" w:space="0" w:color="939598"/>
            </w:tcBorders>
          </w:tcPr>
          <w:p w14:paraId="30750D47" w14:textId="77777777" w:rsidR="0092721B" w:rsidRDefault="00D22738">
            <w:pPr>
              <w:pStyle w:val="TableParagraph"/>
              <w:spacing w:before="133"/>
              <w:ind w:left="380"/>
              <w:jc w:val="left"/>
              <w:rPr>
                <w:sz w:val="16"/>
              </w:rPr>
            </w:pPr>
            <w:r>
              <w:rPr>
                <w:w w:val="90"/>
                <w:sz w:val="16"/>
              </w:rPr>
              <w:t>0,0000</w:t>
            </w:r>
          </w:p>
        </w:tc>
      </w:tr>
      <w:tr w:rsidR="0092721B" w14:paraId="3460AFD5" w14:textId="77777777">
        <w:trPr>
          <w:trHeight w:val="449"/>
        </w:trPr>
        <w:tc>
          <w:tcPr>
            <w:tcW w:w="1413" w:type="dxa"/>
            <w:tcBorders>
              <w:top w:val="single" w:sz="4" w:space="0" w:color="939598"/>
              <w:bottom w:val="single" w:sz="4" w:space="0" w:color="939598"/>
            </w:tcBorders>
          </w:tcPr>
          <w:p w14:paraId="1612752D" w14:textId="77777777" w:rsidR="0092721B" w:rsidRDefault="00D22738">
            <w:pPr>
              <w:pStyle w:val="TableParagraph"/>
              <w:spacing w:before="133"/>
              <w:ind w:left="197" w:right="294"/>
              <w:rPr>
                <w:sz w:val="16"/>
              </w:rPr>
            </w:pPr>
            <w:r>
              <w:rPr>
                <w:w w:val="80"/>
                <w:sz w:val="16"/>
              </w:rPr>
              <w:t>胸の痛み</w:t>
            </w:r>
          </w:p>
        </w:tc>
        <w:tc>
          <w:tcPr>
            <w:tcW w:w="1187" w:type="dxa"/>
            <w:tcBorders>
              <w:top w:val="single" w:sz="4" w:space="0" w:color="939598"/>
              <w:bottom w:val="single" w:sz="4" w:space="0" w:color="939598"/>
            </w:tcBorders>
          </w:tcPr>
          <w:p w14:paraId="5D2603FB" w14:textId="77777777" w:rsidR="0092721B" w:rsidRDefault="00D22738">
            <w:pPr>
              <w:pStyle w:val="TableParagraph"/>
              <w:ind w:left="409" w:right="487"/>
              <w:rPr>
                <w:sz w:val="16"/>
              </w:rPr>
            </w:pPr>
            <w:r>
              <w:rPr>
                <w:w w:val="90"/>
                <w:sz w:val="16"/>
              </w:rPr>
              <w:t>Ctrl</w:t>
            </w:r>
          </w:p>
          <w:p w14:paraId="16739CB6" w14:textId="77777777" w:rsidR="0092721B" w:rsidRDefault="00D22738">
            <w:pPr>
              <w:pStyle w:val="TableParagraph"/>
              <w:spacing w:before="45" w:line="182" w:lineRule="exact"/>
              <w:ind w:left="410" w:right="487"/>
              <w:rPr>
                <w:sz w:val="16"/>
              </w:rPr>
            </w:pPr>
            <w:r>
              <w:rPr>
                <w:w w:val="90"/>
                <w:sz w:val="16"/>
              </w:rPr>
              <w:t>Exp</w:t>
            </w:r>
          </w:p>
        </w:tc>
        <w:tc>
          <w:tcPr>
            <w:tcW w:w="1513" w:type="dxa"/>
            <w:tcBorders>
              <w:top w:val="single" w:sz="4" w:space="0" w:color="939598"/>
              <w:bottom w:val="single" w:sz="4" w:space="0" w:color="939598"/>
            </w:tcBorders>
          </w:tcPr>
          <w:p w14:paraId="6C4FB480" w14:textId="77777777" w:rsidR="0092721B" w:rsidRDefault="00D22738">
            <w:pPr>
              <w:pStyle w:val="TableParagraph"/>
              <w:ind w:left="438"/>
              <w:jc w:val="left"/>
              <w:rPr>
                <w:sz w:val="16"/>
              </w:rPr>
            </w:pPr>
            <w:r>
              <w:rPr>
                <w:w w:val="85"/>
                <w:sz w:val="16"/>
              </w:rPr>
              <w:t>0.6 IC ± 0.3</w:t>
            </w:r>
          </w:p>
          <w:p w14:paraId="48CC9028" w14:textId="77777777" w:rsidR="0092721B" w:rsidRDefault="00D22738">
            <w:pPr>
              <w:pStyle w:val="TableParagraph"/>
              <w:spacing w:before="45" w:line="182" w:lineRule="exact"/>
              <w:ind w:left="439"/>
              <w:jc w:val="left"/>
              <w:rPr>
                <w:sz w:val="16"/>
              </w:rPr>
            </w:pPr>
            <w:r>
              <w:rPr>
                <w:w w:val="85"/>
                <w:sz w:val="16"/>
              </w:rPr>
              <w:t>0.6 IC ± 0.2</w:t>
            </w:r>
          </w:p>
        </w:tc>
        <w:tc>
          <w:tcPr>
            <w:tcW w:w="1164" w:type="dxa"/>
            <w:tcBorders>
              <w:top w:val="single" w:sz="4" w:space="0" w:color="939598"/>
              <w:bottom w:val="single" w:sz="4" w:space="0" w:color="939598"/>
            </w:tcBorders>
          </w:tcPr>
          <w:p w14:paraId="6AC31988" w14:textId="77777777" w:rsidR="0092721B" w:rsidRDefault="00D22738">
            <w:pPr>
              <w:pStyle w:val="TableParagraph"/>
              <w:spacing w:before="133"/>
              <w:ind w:left="341" w:right="341"/>
              <w:rPr>
                <w:sz w:val="16"/>
              </w:rPr>
            </w:pPr>
            <w:r>
              <w:rPr>
                <w:w w:val="90"/>
                <w:sz w:val="16"/>
              </w:rPr>
              <w:t>0,9018</w:t>
            </w:r>
          </w:p>
        </w:tc>
        <w:tc>
          <w:tcPr>
            <w:tcW w:w="1456" w:type="dxa"/>
            <w:tcBorders>
              <w:top w:val="single" w:sz="4" w:space="0" w:color="939598"/>
              <w:bottom w:val="single" w:sz="4" w:space="0" w:color="939598"/>
            </w:tcBorders>
          </w:tcPr>
          <w:p w14:paraId="59B76FCA" w14:textId="77777777" w:rsidR="0092721B" w:rsidRDefault="00D22738">
            <w:pPr>
              <w:pStyle w:val="TableParagraph"/>
              <w:tabs>
                <w:tab w:val="left" w:pos="381"/>
                <w:tab w:val="left" w:pos="1491"/>
              </w:tabs>
              <w:ind w:left="-37" w:right="-44"/>
              <w:rPr>
                <w:sz w:val="16"/>
              </w:rPr>
            </w:pPr>
            <w:r>
              <w:rPr>
                <w:sz w:val="16"/>
                <w:u w:val="single" w:color="939598"/>
              </w:rPr>
              <w:tab/>
            </w:r>
            <w:r>
              <w:rPr>
                <w:w w:val="85"/>
                <w:sz w:val="16"/>
                <w:u w:val="single" w:color="939598"/>
              </w:rPr>
              <w:t>0.6 IC ± 0.3</w:t>
            </w:r>
            <w:r>
              <w:rPr>
                <w:sz w:val="16"/>
                <w:u w:val="single" w:color="939598"/>
              </w:rPr>
              <w:tab/>
            </w:r>
          </w:p>
          <w:p w14:paraId="6D487C1C" w14:textId="77777777" w:rsidR="0092721B" w:rsidRDefault="00D22738">
            <w:pPr>
              <w:pStyle w:val="TableParagraph"/>
              <w:spacing w:before="45" w:line="182" w:lineRule="exact"/>
              <w:ind w:left="360" w:right="360"/>
              <w:rPr>
                <w:sz w:val="16"/>
              </w:rPr>
            </w:pPr>
            <w:r>
              <w:rPr>
                <w:w w:val="85"/>
                <w:sz w:val="16"/>
              </w:rPr>
              <w:t>0,1 IC ± 0,1</w:t>
            </w:r>
          </w:p>
        </w:tc>
        <w:tc>
          <w:tcPr>
            <w:tcW w:w="1164" w:type="dxa"/>
            <w:tcBorders>
              <w:top w:val="single" w:sz="4" w:space="0" w:color="939598"/>
              <w:bottom w:val="single" w:sz="4" w:space="0" w:color="939598"/>
            </w:tcBorders>
          </w:tcPr>
          <w:p w14:paraId="10CE3550" w14:textId="77777777" w:rsidR="0092721B" w:rsidRDefault="00D22738">
            <w:pPr>
              <w:pStyle w:val="TableParagraph"/>
              <w:spacing w:before="133"/>
              <w:ind w:right="379"/>
              <w:jc w:val="right"/>
              <w:rPr>
                <w:sz w:val="16"/>
              </w:rPr>
            </w:pPr>
            <w:r>
              <w:rPr>
                <w:w w:val="90"/>
                <w:sz w:val="16"/>
              </w:rPr>
              <w:t>0,0017</w:t>
            </w:r>
          </w:p>
        </w:tc>
        <w:tc>
          <w:tcPr>
            <w:tcW w:w="1456" w:type="dxa"/>
            <w:tcBorders>
              <w:top w:val="single" w:sz="4" w:space="0" w:color="939598"/>
              <w:bottom w:val="single" w:sz="4" w:space="0" w:color="939598"/>
            </w:tcBorders>
          </w:tcPr>
          <w:p w14:paraId="51DFEA58" w14:textId="77777777" w:rsidR="0092721B" w:rsidRDefault="00D22738">
            <w:pPr>
              <w:pStyle w:val="TableParagraph"/>
              <w:tabs>
                <w:tab w:val="left" w:pos="381"/>
                <w:tab w:val="left" w:pos="1490"/>
              </w:tabs>
              <w:ind w:left="-38" w:right="-44"/>
              <w:rPr>
                <w:sz w:val="16"/>
              </w:rPr>
            </w:pPr>
            <w:r>
              <w:rPr>
                <w:sz w:val="16"/>
                <w:u w:val="single" w:color="939598"/>
              </w:rPr>
              <w:tab/>
            </w:r>
            <w:r>
              <w:rPr>
                <w:w w:val="85"/>
                <w:sz w:val="16"/>
                <w:u w:val="single" w:color="939598"/>
              </w:rPr>
              <w:t>0.4 IC ± 0.2</w:t>
            </w:r>
            <w:r>
              <w:rPr>
                <w:sz w:val="16"/>
                <w:u w:val="single" w:color="939598"/>
              </w:rPr>
              <w:tab/>
            </w:r>
          </w:p>
          <w:p w14:paraId="162E1939" w14:textId="77777777" w:rsidR="0092721B" w:rsidRDefault="00D22738">
            <w:pPr>
              <w:pStyle w:val="TableParagraph"/>
              <w:spacing w:before="45" w:line="182" w:lineRule="exact"/>
              <w:ind w:left="360" w:right="360"/>
              <w:rPr>
                <w:sz w:val="16"/>
              </w:rPr>
            </w:pPr>
            <w:r>
              <w:rPr>
                <w:w w:val="85"/>
                <w:sz w:val="16"/>
              </w:rPr>
              <w:t>0,0 IC ± 0,0</w:t>
            </w:r>
          </w:p>
        </w:tc>
        <w:tc>
          <w:tcPr>
            <w:tcW w:w="1141" w:type="dxa"/>
            <w:tcBorders>
              <w:top w:val="single" w:sz="4" w:space="0" w:color="939598"/>
              <w:bottom w:val="single" w:sz="4" w:space="0" w:color="939598"/>
            </w:tcBorders>
          </w:tcPr>
          <w:p w14:paraId="018A5EBA" w14:textId="77777777" w:rsidR="0092721B" w:rsidRDefault="00D22738">
            <w:pPr>
              <w:pStyle w:val="TableParagraph"/>
              <w:spacing w:before="133"/>
              <w:ind w:left="380"/>
              <w:jc w:val="left"/>
              <w:rPr>
                <w:sz w:val="16"/>
              </w:rPr>
            </w:pPr>
            <w:r>
              <w:rPr>
                <w:w w:val="90"/>
                <w:sz w:val="16"/>
              </w:rPr>
              <w:t>0,0043</w:t>
            </w:r>
          </w:p>
        </w:tc>
      </w:tr>
      <w:tr w:rsidR="0092721B" w14:paraId="7D505003" w14:textId="77777777">
        <w:trPr>
          <w:trHeight w:val="449"/>
        </w:trPr>
        <w:tc>
          <w:tcPr>
            <w:tcW w:w="1413" w:type="dxa"/>
            <w:tcBorders>
              <w:top w:val="single" w:sz="4" w:space="0" w:color="939598"/>
              <w:bottom w:val="single" w:sz="4" w:space="0" w:color="939598"/>
            </w:tcBorders>
          </w:tcPr>
          <w:p w14:paraId="7C4642F0" w14:textId="77777777" w:rsidR="0092721B" w:rsidRDefault="00D22738">
            <w:pPr>
              <w:pStyle w:val="TableParagraph"/>
              <w:spacing w:before="133"/>
              <w:ind w:left="197" w:right="294"/>
              <w:rPr>
                <w:sz w:val="16"/>
              </w:rPr>
            </w:pPr>
            <w:r>
              <w:rPr>
                <w:w w:val="80"/>
                <w:sz w:val="16"/>
              </w:rPr>
              <w:t>一般的な痛み</w:t>
            </w:r>
          </w:p>
        </w:tc>
        <w:tc>
          <w:tcPr>
            <w:tcW w:w="1187" w:type="dxa"/>
            <w:tcBorders>
              <w:top w:val="single" w:sz="4" w:space="0" w:color="939598"/>
              <w:bottom w:val="single" w:sz="4" w:space="0" w:color="939598"/>
            </w:tcBorders>
          </w:tcPr>
          <w:p w14:paraId="2E82DE3F" w14:textId="77777777" w:rsidR="0092721B" w:rsidRDefault="00D22738">
            <w:pPr>
              <w:pStyle w:val="TableParagraph"/>
              <w:ind w:left="410" w:right="487"/>
              <w:rPr>
                <w:sz w:val="16"/>
              </w:rPr>
            </w:pPr>
            <w:r>
              <w:rPr>
                <w:w w:val="90"/>
                <w:sz w:val="16"/>
              </w:rPr>
              <w:t>Ctrl</w:t>
            </w:r>
          </w:p>
          <w:p w14:paraId="6D94EC14" w14:textId="77777777" w:rsidR="0092721B" w:rsidRDefault="00D22738">
            <w:pPr>
              <w:pStyle w:val="TableParagraph"/>
              <w:spacing w:before="45" w:line="182" w:lineRule="exact"/>
              <w:ind w:left="410" w:right="487"/>
              <w:rPr>
                <w:sz w:val="16"/>
              </w:rPr>
            </w:pPr>
            <w:r>
              <w:rPr>
                <w:w w:val="90"/>
                <w:sz w:val="16"/>
              </w:rPr>
              <w:t>Exp</w:t>
            </w:r>
          </w:p>
        </w:tc>
        <w:tc>
          <w:tcPr>
            <w:tcW w:w="1513" w:type="dxa"/>
            <w:tcBorders>
              <w:top w:val="single" w:sz="4" w:space="0" w:color="939598"/>
              <w:bottom w:val="single" w:sz="4" w:space="0" w:color="939598"/>
            </w:tcBorders>
          </w:tcPr>
          <w:p w14:paraId="0531A944" w14:textId="77777777" w:rsidR="0092721B" w:rsidRDefault="00D22738">
            <w:pPr>
              <w:pStyle w:val="TableParagraph"/>
              <w:ind w:left="438"/>
              <w:jc w:val="left"/>
              <w:rPr>
                <w:sz w:val="16"/>
              </w:rPr>
            </w:pPr>
            <w:r>
              <w:rPr>
                <w:w w:val="85"/>
                <w:sz w:val="16"/>
              </w:rPr>
              <w:t>2,1 IC ± 0,4</w:t>
            </w:r>
          </w:p>
          <w:p w14:paraId="5D373BB1" w14:textId="77777777" w:rsidR="0092721B" w:rsidRDefault="00D22738">
            <w:pPr>
              <w:pStyle w:val="TableParagraph"/>
              <w:spacing w:before="45" w:line="182" w:lineRule="exact"/>
              <w:ind w:left="439"/>
              <w:jc w:val="left"/>
              <w:rPr>
                <w:sz w:val="16"/>
              </w:rPr>
            </w:pPr>
            <w:r>
              <w:rPr>
                <w:w w:val="85"/>
                <w:sz w:val="16"/>
              </w:rPr>
              <w:t>2,1 IC ± 0,7</w:t>
            </w:r>
          </w:p>
        </w:tc>
        <w:tc>
          <w:tcPr>
            <w:tcW w:w="1164" w:type="dxa"/>
            <w:tcBorders>
              <w:top w:val="single" w:sz="4" w:space="0" w:color="939598"/>
              <w:bottom w:val="single" w:sz="4" w:space="0" w:color="939598"/>
            </w:tcBorders>
          </w:tcPr>
          <w:p w14:paraId="2AF9D2AA" w14:textId="77777777" w:rsidR="0092721B" w:rsidRDefault="00D22738">
            <w:pPr>
              <w:pStyle w:val="TableParagraph"/>
              <w:spacing w:before="133"/>
              <w:ind w:left="341" w:right="341"/>
              <w:rPr>
                <w:sz w:val="16"/>
              </w:rPr>
            </w:pPr>
            <w:r>
              <w:rPr>
                <w:w w:val="90"/>
                <w:sz w:val="16"/>
              </w:rPr>
              <w:t>0,8660</w:t>
            </w:r>
          </w:p>
        </w:tc>
        <w:tc>
          <w:tcPr>
            <w:tcW w:w="1456" w:type="dxa"/>
            <w:tcBorders>
              <w:top w:val="single" w:sz="4" w:space="0" w:color="939598"/>
              <w:bottom w:val="single" w:sz="4" w:space="0" w:color="939598"/>
            </w:tcBorders>
          </w:tcPr>
          <w:p w14:paraId="4D1383AC" w14:textId="77777777" w:rsidR="0092721B" w:rsidRDefault="00D22738">
            <w:pPr>
              <w:pStyle w:val="TableParagraph"/>
              <w:tabs>
                <w:tab w:val="left" w:pos="381"/>
                <w:tab w:val="left" w:pos="1491"/>
              </w:tabs>
              <w:ind w:left="-37" w:right="-44"/>
              <w:rPr>
                <w:sz w:val="16"/>
              </w:rPr>
            </w:pPr>
            <w:r>
              <w:rPr>
                <w:sz w:val="16"/>
                <w:u w:val="single" w:color="939598"/>
              </w:rPr>
              <w:tab/>
            </w:r>
            <w:r>
              <w:rPr>
                <w:w w:val="85"/>
                <w:sz w:val="16"/>
                <w:u w:val="single" w:color="939598"/>
              </w:rPr>
              <w:t>2,4 IC ± 0,4</w:t>
            </w:r>
            <w:r>
              <w:rPr>
                <w:sz w:val="16"/>
                <w:u w:val="single" w:color="939598"/>
              </w:rPr>
              <w:tab/>
            </w:r>
          </w:p>
          <w:p w14:paraId="00AF3501" w14:textId="77777777" w:rsidR="0092721B" w:rsidRDefault="00D22738">
            <w:pPr>
              <w:pStyle w:val="TableParagraph"/>
              <w:spacing w:before="45" w:line="182" w:lineRule="exact"/>
              <w:ind w:left="360" w:right="360"/>
              <w:rPr>
                <w:sz w:val="16"/>
              </w:rPr>
            </w:pPr>
            <w:r>
              <w:rPr>
                <w:w w:val="85"/>
                <w:sz w:val="16"/>
              </w:rPr>
              <w:t>0.5 IC ± 0.2</w:t>
            </w:r>
          </w:p>
        </w:tc>
        <w:tc>
          <w:tcPr>
            <w:tcW w:w="1164" w:type="dxa"/>
            <w:tcBorders>
              <w:top w:val="single" w:sz="4" w:space="0" w:color="939598"/>
              <w:bottom w:val="single" w:sz="4" w:space="0" w:color="939598"/>
            </w:tcBorders>
          </w:tcPr>
          <w:p w14:paraId="5C9120D5" w14:textId="77777777" w:rsidR="0092721B" w:rsidRDefault="00D22738">
            <w:pPr>
              <w:pStyle w:val="TableParagraph"/>
              <w:spacing w:before="133"/>
              <w:ind w:right="379"/>
              <w:jc w:val="right"/>
              <w:rPr>
                <w:sz w:val="16"/>
              </w:rPr>
            </w:pPr>
            <w:r>
              <w:rPr>
                <w:w w:val="90"/>
                <w:sz w:val="16"/>
              </w:rPr>
              <w:t>0,0000</w:t>
            </w:r>
          </w:p>
        </w:tc>
        <w:tc>
          <w:tcPr>
            <w:tcW w:w="1456" w:type="dxa"/>
            <w:tcBorders>
              <w:top w:val="single" w:sz="4" w:space="0" w:color="939598"/>
              <w:bottom w:val="single" w:sz="4" w:space="0" w:color="939598"/>
            </w:tcBorders>
          </w:tcPr>
          <w:p w14:paraId="46A5716F" w14:textId="77777777" w:rsidR="0092721B" w:rsidRDefault="00D22738">
            <w:pPr>
              <w:pStyle w:val="TableParagraph"/>
              <w:tabs>
                <w:tab w:val="left" w:pos="381"/>
                <w:tab w:val="left" w:pos="1490"/>
              </w:tabs>
              <w:ind w:left="-38" w:right="-44"/>
              <w:rPr>
                <w:sz w:val="16"/>
              </w:rPr>
            </w:pPr>
            <w:r>
              <w:rPr>
                <w:sz w:val="16"/>
                <w:u w:val="single" w:color="939598"/>
              </w:rPr>
              <w:tab/>
            </w:r>
            <w:r>
              <w:rPr>
                <w:w w:val="85"/>
                <w:sz w:val="16"/>
                <w:u w:val="single" w:color="939598"/>
              </w:rPr>
              <w:t>2,6 IC ± 0,4</w:t>
            </w:r>
            <w:r>
              <w:rPr>
                <w:sz w:val="16"/>
                <w:u w:val="single" w:color="939598"/>
              </w:rPr>
              <w:tab/>
            </w:r>
          </w:p>
          <w:p w14:paraId="53FD7D66" w14:textId="77777777" w:rsidR="0092721B" w:rsidRDefault="00D22738">
            <w:pPr>
              <w:pStyle w:val="TableParagraph"/>
              <w:spacing w:before="45" w:line="182" w:lineRule="exact"/>
              <w:ind w:left="360" w:right="360"/>
              <w:rPr>
                <w:sz w:val="16"/>
              </w:rPr>
            </w:pPr>
            <w:r>
              <w:rPr>
                <w:w w:val="85"/>
                <w:sz w:val="16"/>
              </w:rPr>
              <w:t>0,0 IC±0,1</w:t>
            </w:r>
          </w:p>
        </w:tc>
        <w:tc>
          <w:tcPr>
            <w:tcW w:w="1141" w:type="dxa"/>
            <w:tcBorders>
              <w:top w:val="single" w:sz="4" w:space="0" w:color="939598"/>
              <w:bottom w:val="single" w:sz="4" w:space="0" w:color="939598"/>
            </w:tcBorders>
          </w:tcPr>
          <w:p w14:paraId="3EC0963C" w14:textId="77777777" w:rsidR="0092721B" w:rsidRDefault="00D22738">
            <w:pPr>
              <w:pStyle w:val="TableParagraph"/>
              <w:spacing w:before="133"/>
              <w:ind w:left="381"/>
              <w:jc w:val="left"/>
              <w:rPr>
                <w:sz w:val="16"/>
              </w:rPr>
            </w:pPr>
            <w:r>
              <w:rPr>
                <w:w w:val="90"/>
                <w:sz w:val="16"/>
              </w:rPr>
              <w:t>0,0000</w:t>
            </w:r>
          </w:p>
        </w:tc>
      </w:tr>
      <w:tr w:rsidR="0092721B" w14:paraId="50E0DB11" w14:textId="77777777">
        <w:trPr>
          <w:trHeight w:val="449"/>
        </w:trPr>
        <w:tc>
          <w:tcPr>
            <w:tcW w:w="1413" w:type="dxa"/>
            <w:tcBorders>
              <w:top w:val="single" w:sz="4" w:space="0" w:color="939598"/>
              <w:bottom w:val="single" w:sz="4" w:space="0" w:color="939598"/>
            </w:tcBorders>
          </w:tcPr>
          <w:p w14:paraId="0D1A8997" w14:textId="77777777" w:rsidR="0092721B" w:rsidRDefault="00D22738">
            <w:pPr>
              <w:pStyle w:val="TableParagraph"/>
              <w:spacing w:before="132"/>
              <w:ind w:left="198" w:right="294"/>
              <w:rPr>
                <w:sz w:val="16"/>
              </w:rPr>
            </w:pPr>
            <w:r>
              <w:rPr>
                <w:w w:val="90"/>
                <w:sz w:val="16"/>
              </w:rPr>
              <w:t>Lumbar/Affect</w:t>
            </w:r>
          </w:p>
        </w:tc>
        <w:tc>
          <w:tcPr>
            <w:tcW w:w="1187" w:type="dxa"/>
            <w:tcBorders>
              <w:top w:val="single" w:sz="4" w:space="0" w:color="939598"/>
              <w:bottom w:val="single" w:sz="4" w:space="0" w:color="939598"/>
            </w:tcBorders>
          </w:tcPr>
          <w:p w14:paraId="4E1D1B21" w14:textId="77777777" w:rsidR="0092721B" w:rsidRDefault="00D22738">
            <w:pPr>
              <w:pStyle w:val="TableParagraph"/>
              <w:ind w:left="410" w:right="487"/>
              <w:rPr>
                <w:sz w:val="16"/>
              </w:rPr>
            </w:pPr>
            <w:r>
              <w:rPr>
                <w:w w:val="90"/>
                <w:sz w:val="16"/>
              </w:rPr>
              <w:t>Ctrl</w:t>
            </w:r>
          </w:p>
          <w:p w14:paraId="4DA6A072" w14:textId="77777777" w:rsidR="0092721B" w:rsidRDefault="00D22738">
            <w:pPr>
              <w:pStyle w:val="TableParagraph"/>
              <w:spacing w:before="45" w:line="182" w:lineRule="exact"/>
              <w:ind w:left="410" w:right="486"/>
              <w:rPr>
                <w:sz w:val="16"/>
              </w:rPr>
            </w:pPr>
            <w:r>
              <w:rPr>
                <w:w w:val="90"/>
                <w:sz w:val="16"/>
              </w:rPr>
              <w:t>Exp</w:t>
            </w:r>
          </w:p>
        </w:tc>
        <w:tc>
          <w:tcPr>
            <w:tcW w:w="1513" w:type="dxa"/>
            <w:tcBorders>
              <w:top w:val="single" w:sz="4" w:space="0" w:color="939598"/>
              <w:bottom w:val="single" w:sz="4" w:space="0" w:color="939598"/>
            </w:tcBorders>
          </w:tcPr>
          <w:p w14:paraId="0C661EFE" w14:textId="77777777" w:rsidR="0092721B" w:rsidRDefault="00D22738">
            <w:pPr>
              <w:pStyle w:val="TableParagraph"/>
              <w:ind w:left="439"/>
              <w:jc w:val="left"/>
              <w:rPr>
                <w:sz w:val="16"/>
              </w:rPr>
            </w:pPr>
            <w:r>
              <w:rPr>
                <w:w w:val="85"/>
                <w:sz w:val="16"/>
              </w:rPr>
              <w:t>1,5 IC ± 0,3</w:t>
            </w:r>
          </w:p>
          <w:p w14:paraId="44BFA720" w14:textId="77777777" w:rsidR="0092721B" w:rsidRDefault="00D22738">
            <w:pPr>
              <w:pStyle w:val="TableParagraph"/>
              <w:spacing w:before="45" w:line="182" w:lineRule="exact"/>
              <w:ind w:left="439"/>
              <w:jc w:val="left"/>
              <w:rPr>
                <w:sz w:val="16"/>
              </w:rPr>
            </w:pPr>
            <w:r>
              <w:rPr>
                <w:w w:val="85"/>
                <w:sz w:val="16"/>
              </w:rPr>
              <w:t>1,6 IC ± 0,3</w:t>
            </w:r>
          </w:p>
        </w:tc>
        <w:tc>
          <w:tcPr>
            <w:tcW w:w="1164" w:type="dxa"/>
            <w:tcBorders>
              <w:top w:val="single" w:sz="4" w:space="0" w:color="939598"/>
              <w:bottom w:val="single" w:sz="4" w:space="0" w:color="939598"/>
            </w:tcBorders>
          </w:tcPr>
          <w:p w14:paraId="077B60F4" w14:textId="77777777" w:rsidR="0092721B" w:rsidRDefault="00D22738">
            <w:pPr>
              <w:pStyle w:val="TableParagraph"/>
              <w:spacing w:before="132"/>
              <w:ind w:left="341" w:right="340"/>
              <w:rPr>
                <w:sz w:val="16"/>
              </w:rPr>
            </w:pPr>
            <w:r>
              <w:rPr>
                <w:w w:val="90"/>
                <w:sz w:val="16"/>
              </w:rPr>
              <w:t>0,7827</w:t>
            </w:r>
          </w:p>
        </w:tc>
        <w:tc>
          <w:tcPr>
            <w:tcW w:w="1456" w:type="dxa"/>
            <w:tcBorders>
              <w:top w:val="single" w:sz="4" w:space="0" w:color="939598"/>
              <w:bottom w:val="single" w:sz="4" w:space="0" w:color="939598"/>
            </w:tcBorders>
          </w:tcPr>
          <w:p w14:paraId="23431A74" w14:textId="77777777" w:rsidR="0092721B" w:rsidRDefault="00D22738">
            <w:pPr>
              <w:pStyle w:val="TableParagraph"/>
              <w:tabs>
                <w:tab w:val="left" w:pos="381"/>
                <w:tab w:val="left" w:pos="1491"/>
              </w:tabs>
              <w:ind w:left="-37" w:right="-44"/>
              <w:rPr>
                <w:sz w:val="16"/>
              </w:rPr>
            </w:pPr>
            <w:r>
              <w:rPr>
                <w:sz w:val="16"/>
                <w:u w:val="single" w:color="939598"/>
              </w:rPr>
              <w:tab/>
            </w:r>
            <w:r>
              <w:rPr>
                <w:w w:val="85"/>
                <w:sz w:val="16"/>
                <w:u w:val="single" w:color="939598"/>
              </w:rPr>
              <w:t>1,6 IC ± 0,2</w:t>
            </w:r>
            <w:r>
              <w:rPr>
                <w:sz w:val="16"/>
                <w:u w:val="single" w:color="939598"/>
              </w:rPr>
              <w:tab/>
            </w:r>
          </w:p>
          <w:p w14:paraId="605A9540" w14:textId="77777777" w:rsidR="0092721B" w:rsidRDefault="00D22738">
            <w:pPr>
              <w:pStyle w:val="TableParagraph"/>
              <w:spacing w:before="45" w:line="182" w:lineRule="exact"/>
              <w:ind w:left="360" w:right="359"/>
              <w:rPr>
                <w:sz w:val="16"/>
              </w:rPr>
            </w:pPr>
            <w:r>
              <w:rPr>
                <w:w w:val="85"/>
                <w:sz w:val="16"/>
              </w:rPr>
              <w:t>1,7 IC ± 0,3</w:t>
            </w:r>
          </w:p>
        </w:tc>
        <w:tc>
          <w:tcPr>
            <w:tcW w:w="1164" w:type="dxa"/>
            <w:tcBorders>
              <w:top w:val="single" w:sz="4" w:space="0" w:color="939598"/>
              <w:bottom w:val="single" w:sz="4" w:space="0" w:color="939598"/>
            </w:tcBorders>
          </w:tcPr>
          <w:p w14:paraId="0E1CB289" w14:textId="77777777" w:rsidR="0092721B" w:rsidRDefault="00D22738">
            <w:pPr>
              <w:pStyle w:val="TableParagraph"/>
              <w:spacing w:before="132"/>
              <w:ind w:right="378"/>
              <w:jc w:val="right"/>
              <w:rPr>
                <w:sz w:val="16"/>
              </w:rPr>
            </w:pPr>
            <w:r>
              <w:rPr>
                <w:w w:val="90"/>
                <w:sz w:val="16"/>
              </w:rPr>
              <w:t>0,9633</w:t>
            </w:r>
          </w:p>
        </w:tc>
        <w:tc>
          <w:tcPr>
            <w:tcW w:w="1456" w:type="dxa"/>
            <w:tcBorders>
              <w:top w:val="single" w:sz="4" w:space="0" w:color="939598"/>
              <w:bottom w:val="single" w:sz="4" w:space="0" w:color="939598"/>
            </w:tcBorders>
          </w:tcPr>
          <w:p w14:paraId="7DF9F607" w14:textId="77777777" w:rsidR="0092721B" w:rsidRDefault="00D22738">
            <w:pPr>
              <w:pStyle w:val="TableParagraph"/>
              <w:tabs>
                <w:tab w:val="left" w:pos="417"/>
                <w:tab w:val="left" w:pos="1490"/>
              </w:tabs>
              <w:ind w:left="-38" w:right="-44"/>
              <w:rPr>
                <w:sz w:val="16"/>
              </w:rPr>
            </w:pPr>
            <w:r>
              <w:rPr>
                <w:sz w:val="16"/>
                <w:u w:val="single" w:color="939598"/>
              </w:rPr>
              <w:tab/>
            </w:r>
            <w:r>
              <w:rPr>
                <w:w w:val="85"/>
                <w:sz w:val="16"/>
                <w:u w:val="single" w:color="939598"/>
              </w:rPr>
              <w:t>1,6 IC±0,2</w:t>
            </w:r>
            <w:r>
              <w:rPr>
                <w:sz w:val="16"/>
                <w:u w:val="single" w:color="939598"/>
              </w:rPr>
              <w:tab/>
            </w:r>
          </w:p>
          <w:p w14:paraId="79605696" w14:textId="77777777" w:rsidR="0092721B" w:rsidRDefault="00D22738">
            <w:pPr>
              <w:pStyle w:val="TableParagraph"/>
              <w:spacing w:before="45" w:line="182" w:lineRule="exact"/>
              <w:ind w:left="360" w:right="360"/>
              <w:rPr>
                <w:sz w:val="16"/>
              </w:rPr>
            </w:pPr>
            <w:r>
              <w:rPr>
                <w:w w:val="85"/>
                <w:sz w:val="16"/>
              </w:rPr>
              <w:t>2,0 IC±0,2</w:t>
            </w:r>
          </w:p>
        </w:tc>
        <w:tc>
          <w:tcPr>
            <w:tcW w:w="1141" w:type="dxa"/>
            <w:tcBorders>
              <w:top w:val="single" w:sz="4" w:space="0" w:color="939598"/>
              <w:bottom w:val="single" w:sz="4" w:space="0" w:color="939598"/>
            </w:tcBorders>
          </w:tcPr>
          <w:p w14:paraId="7FE6B5FE" w14:textId="77777777" w:rsidR="0092721B" w:rsidRDefault="00D22738">
            <w:pPr>
              <w:pStyle w:val="TableParagraph"/>
              <w:spacing w:before="132"/>
              <w:ind w:left="381"/>
              <w:jc w:val="left"/>
              <w:rPr>
                <w:sz w:val="16"/>
              </w:rPr>
            </w:pPr>
            <w:r>
              <w:rPr>
                <w:w w:val="90"/>
                <w:sz w:val="16"/>
              </w:rPr>
              <w:t>0,0067</w:t>
            </w:r>
          </w:p>
        </w:tc>
      </w:tr>
    </w:tbl>
    <w:p w14:paraId="5D40F683" w14:textId="77777777" w:rsidR="0092721B" w:rsidRDefault="0092721B">
      <w:pPr>
        <w:pStyle w:val="a3"/>
        <w:spacing w:before="6"/>
        <w:ind w:left="0" w:firstLine="0"/>
        <w:jc w:val="left"/>
        <w:rPr>
          <w:sz w:val="24"/>
        </w:rPr>
      </w:pPr>
    </w:p>
    <w:p w14:paraId="203DE98A" w14:textId="77777777" w:rsidR="0092721B" w:rsidRDefault="008834D1">
      <w:pPr>
        <w:spacing w:line="249" w:lineRule="auto"/>
        <w:ind w:left="131"/>
        <w:rPr>
          <w:sz w:val="16"/>
          <w:lang w:eastAsia="ja-JP"/>
        </w:rPr>
      </w:pPr>
      <w:r>
        <w:pict w14:anchorId="1937F081">
          <v:group id="docshapegroup27" o:spid="_x0000_s1037" alt="" style="position:absolute;left:0;text-align:left;margin-left:108pt;margin-top:-25.95pt;width:141.9pt;height:.3pt;z-index:-16264704;mso-position-horizontal-relative:page" coordorigin="2160,-519" coordsize="2838,6">
            <v:line id="_x0000_s1038" alt="" style="position:absolute" from="2160,-516" to="3470,-516" strokecolor="#939598" strokeweight=".3pt"/>
            <v:line id="_x0000_s1039" alt="" style="position:absolute" from="3470,-516" to="4998,-516" strokecolor="#939598" strokeweight=".3pt"/>
            <w10:wrap anchorx="page"/>
          </v:group>
        </w:pict>
      </w:r>
      <w:r>
        <w:pict w14:anchorId="6474C052">
          <v:group id="docshapegroup28" o:spid="_x0000_s1034" alt="" style="position:absolute;left:0;text-align:left;margin-left:108pt;margin-top:-48.9pt;width:141.9pt;height:.3pt;z-index:-16264192;mso-position-horizontal-relative:page" coordorigin="2160,-978" coordsize="2838,6">
            <v:line id="_x0000_s1035" alt="" style="position:absolute" from="2160,-975" to="3470,-975" strokecolor="#939598" strokeweight=".3pt"/>
            <v:line id="_x0000_s1036" alt="" style="position:absolute" from="3470,-975" to="4998,-975" strokecolor="#939598" strokeweight=".3pt"/>
            <w10:wrap anchorx="page"/>
          </v:group>
        </w:pict>
      </w:r>
      <w:r>
        <w:pict w14:anchorId="03B4BD31">
          <v:group id="docshapegroup29" o:spid="_x0000_s1031" alt="" style="position:absolute;left:0;text-align:left;margin-left:108pt;margin-top:-71.9pt;width:141.9pt;height:.3pt;z-index:-16263680;mso-position-horizontal-relative:page" coordorigin="2160,-1438" coordsize="2838,6">
            <v:line id="_x0000_s1032" alt="" style="position:absolute" from="2160,-1435" to="3470,-1435" strokecolor="#939598" strokeweight=".3pt"/>
            <v:line id="_x0000_s1033" alt="" style="position:absolute" from="3470,-1435" to="4998,-1435" strokecolor="#939598" strokeweight=".3pt"/>
            <w10:wrap anchorx="page"/>
          </v:group>
        </w:pict>
      </w:r>
      <w:r w:rsidR="00D22738">
        <w:rPr>
          <w:b/>
          <w:w w:val="80"/>
          <w:sz w:val="16"/>
          <w:lang w:eastAsia="ja-JP"/>
        </w:rPr>
        <w:t>表3:</w:t>
      </w:r>
      <w:r w:rsidR="00D22738">
        <w:rPr>
          <w:color w:val="0D0D0D"/>
          <w:w w:val="90"/>
          <w:sz w:val="16"/>
          <w:lang w:eastAsia="ja-JP"/>
        </w:rPr>
        <w:t>リッカート</w:t>
      </w:r>
      <w:r w:rsidR="00D22738">
        <w:rPr>
          <w:color w:val="0D0D0D"/>
          <w:w w:val="80"/>
          <w:sz w:val="16"/>
          <w:lang w:eastAsia="ja-JP"/>
        </w:rPr>
        <w:t>尺度による生化学的パラメータのWilcoxon-Mann-Whitney検定（</w:t>
      </w:r>
      <w:r w:rsidR="00D22738">
        <w:rPr>
          <w:color w:val="0D0D0D"/>
          <w:w w:val="80"/>
          <w:sz w:val="16"/>
        </w:rPr>
        <w:t>α</w:t>
      </w:r>
      <w:r w:rsidR="00D22738">
        <w:rPr>
          <w:color w:val="0D0D0D"/>
          <w:w w:val="80"/>
          <w:sz w:val="16"/>
          <w:lang w:eastAsia="ja-JP"/>
        </w:rPr>
        <w:t>：95％）による</w:t>
      </w:r>
      <w:r w:rsidR="00D22738">
        <w:rPr>
          <w:w w:val="80"/>
          <w:sz w:val="16"/>
          <w:lang w:eastAsia="ja-JP"/>
        </w:rPr>
        <w:t>対照群と実験群の比較の結果。</w:t>
      </w:r>
    </w:p>
    <w:p w14:paraId="023526D5" w14:textId="77777777" w:rsidR="0092721B" w:rsidRDefault="0092721B">
      <w:pPr>
        <w:spacing w:line="249" w:lineRule="auto"/>
        <w:rPr>
          <w:sz w:val="16"/>
          <w:lang w:eastAsia="ja-JP"/>
        </w:rPr>
        <w:sectPr w:rsidR="0092721B">
          <w:pgSz w:w="11910" w:h="16840"/>
          <w:pgMar w:top="1080" w:right="440" w:bottom="880" w:left="720" w:header="814" w:footer="686" w:gutter="0"/>
          <w:cols w:space="720"/>
        </w:sectPr>
      </w:pPr>
    </w:p>
    <w:p w14:paraId="4C1F68BC" w14:textId="77777777" w:rsidR="0092721B" w:rsidRDefault="0092721B">
      <w:pPr>
        <w:pStyle w:val="a3"/>
        <w:spacing w:before="7"/>
        <w:ind w:left="0" w:firstLine="0"/>
        <w:jc w:val="left"/>
        <w:rPr>
          <w:sz w:val="19"/>
          <w:lang w:eastAsia="ja-JP"/>
        </w:rPr>
      </w:pPr>
    </w:p>
    <w:p w14:paraId="6C01C658" w14:textId="77777777" w:rsidR="0092721B" w:rsidRDefault="00D22738">
      <w:pPr>
        <w:tabs>
          <w:tab w:val="left" w:pos="1899"/>
        </w:tabs>
        <w:ind w:left="465"/>
        <w:rPr>
          <w:b/>
          <w:sz w:val="16"/>
        </w:rPr>
      </w:pPr>
      <w:r>
        <w:rPr>
          <w:b/>
          <w:w w:val="85"/>
          <w:sz w:val="16"/>
          <w:lang w:eastAsia="ja-JP"/>
        </w:rPr>
        <w:tab/>
      </w:r>
      <w:r>
        <w:rPr>
          <w:b/>
          <w:w w:val="85"/>
          <w:sz w:val="16"/>
        </w:rPr>
        <w:t>パラメータグループ</w:t>
      </w:r>
    </w:p>
    <w:p w14:paraId="1B230AD8" w14:textId="77777777" w:rsidR="0092721B" w:rsidRDefault="00D22738">
      <w:pPr>
        <w:tabs>
          <w:tab w:val="left" w:pos="3103"/>
          <w:tab w:val="left" w:pos="3537"/>
          <w:tab w:val="left" w:pos="5704"/>
          <w:tab w:val="left" w:pos="6138"/>
        </w:tabs>
        <w:spacing w:before="130" w:line="249" w:lineRule="auto"/>
        <w:ind w:left="465" w:right="797" w:firstLine="470"/>
        <w:rPr>
          <w:b/>
          <w:sz w:val="16"/>
        </w:rPr>
      </w:pPr>
      <w:r>
        <w:br w:type="column"/>
      </w:r>
      <w:r>
        <w:rPr>
          <w:b/>
          <w:w w:val="80"/>
          <w:sz w:val="16"/>
        </w:rPr>
        <w:tab/>
      </w:r>
      <w:r>
        <w:rPr>
          <w:b/>
          <w:w w:val="80"/>
          <w:sz w:val="16"/>
        </w:rPr>
        <w:tab/>
        <w:t>0日目7日</w:t>
      </w:r>
      <w:r>
        <w:rPr>
          <w:b/>
          <w:w w:val="80"/>
          <w:sz w:val="16"/>
        </w:rPr>
        <w:tab/>
      </w:r>
      <w:r>
        <w:rPr>
          <w:b/>
          <w:w w:val="80"/>
          <w:sz w:val="16"/>
        </w:rPr>
        <w:tab/>
      </w:r>
      <w:r>
        <w:rPr>
          <w:b/>
          <w:w w:val="90"/>
          <w:sz w:val="16"/>
        </w:rPr>
        <w:t xml:space="preserve">目14日目 </w:t>
      </w:r>
      <w:r>
        <w:rPr>
          <w:b/>
          <w:w w:val="80"/>
          <w:sz w:val="16"/>
        </w:rPr>
        <w:t>中央値（IC）｜</w:t>
      </w:r>
      <w:r>
        <w:rPr>
          <w:rFonts w:ascii="Arial-BoldItalicMT" w:hAnsi="Arial-BoldItalicMT"/>
          <w:b/>
          <w:i/>
          <w:w w:val="80"/>
          <w:sz w:val="16"/>
        </w:rPr>
        <w:t>P</w:t>
      </w:r>
      <w:r>
        <w:rPr>
          <w:b/>
          <w:w w:val="80"/>
          <w:sz w:val="16"/>
        </w:rPr>
        <w:tab/>
        <w:t>-valuemedian（IC）｜</w:t>
      </w:r>
      <w:r>
        <w:rPr>
          <w:rFonts w:ascii="Arial-BoldItalicMT" w:hAnsi="Arial-BoldItalicMT"/>
          <w:b/>
          <w:i/>
          <w:w w:val="80"/>
          <w:sz w:val="16"/>
        </w:rPr>
        <w:t>P-</w:t>
      </w:r>
      <w:r>
        <w:rPr>
          <w:b/>
          <w:w w:val="80"/>
          <w:sz w:val="16"/>
        </w:rPr>
        <w:tab/>
        <w:t>valuemedian（IC）｜</w:t>
      </w:r>
      <w:r>
        <w:rPr>
          <w:rFonts w:ascii="Arial-BoldItalicMT" w:hAnsi="Arial-BoldItalicMT"/>
          <w:b/>
          <w:i/>
          <w:w w:val="80"/>
          <w:sz w:val="16"/>
        </w:rPr>
        <w:t>P</w:t>
      </w:r>
      <w:r>
        <w:rPr>
          <w:b/>
          <w:w w:val="80"/>
          <w:sz w:val="16"/>
        </w:rPr>
        <w:t>値</w:t>
      </w:r>
    </w:p>
    <w:p w14:paraId="2A63B119" w14:textId="77777777" w:rsidR="0092721B" w:rsidRDefault="0092721B">
      <w:pPr>
        <w:spacing w:line="249" w:lineRule="auto"/>
        <w:rPr>
          <w:sz w:val="16"/>
        </w:rPr>
        <w:sectPr w:rsidR="0092721B">
          <w:type w:val="continuous"/>
          <w:pgSz w:w="11910" w:h="16840"/>
          <w:pgMar w:top="760" w:right="440" w:bottom="280" w:left="720" w:header="814" w:footer="686" w:gutter="0"/>
          <w:cols w:num="2" w:space="720" w:equalWidth="0">
            <w:col w:w="2334" w:space="616"/>
            <w:col w:w="7800"/>
          </w:cols>
        </w:sectPr>
      </w:pPr>
    </w:p>
    <w:p w14:paraId="4D8DE180" w14:textId="77777777" w:rsidR="0092721B" w:rsidRDefault="00D22738">
      <w:pPr>
        <w:spacing w:before="154" w:line="112" w:lineRule="exact"/>
        <w:ind w:left="422"/>
        <w:rPr>
          <w:sz w:val="16"/>
          <w:lang w:eastAsia="ja-JP"/>
        </w:rPr>
      </w:pPr>
      <w:r>
        <w:rPr>
          <w:w w:val="85"/>
          <w:sz w:val="16"/>
          <w:lang w:eastAsia="ja-JP"/>
        </w:rPr>
        <w:t>リンパ球</w:t>
      </w:r>
    </w:p>
    <w:p w14:paraId="5710C809" w14:textId="77777777" w:rsidR="0092721B" w:rsidRDefault="00D22738">
      <w:pPr>
        <w:tabs>
          <w:tab w:val="left" w:pos="1487"/>
        </w:tabs>
        <w:spacing w:before="39"/>
        <w:ind w:left="422"/>
        <w:rPr>
          <w:sz w:val="16"/>
          <w:lang w:eastAsia="ja-JP"/>
        </w:rPr>
      </w:pPr>
      <w:r>
        <w:rPr>
          <w:lang w:eastAsia="ja-JP"/>
        </w:rPr>
        <w:br w:type="column"/>
      </w:r>
      <w:r>
        <w:rPr>
          <w:w w:val="95"/>
          <w:sz w:val="16"/>
          <w:lang w:eastAsia="ja-JP"/>
        </w:rPr>
        <w:t>Ctrl</w:t>
      </w:r>
      <w:r>
        <w:rPr>
          <w:w w:val="95"/>
          <w:sz w:val="16"/>
          <w:lang w:eastAsia="ja-JP"/>
        </w:rPr>
        <w:tab/>
      </w:r>
      <w:r>
        <w:rPr>
          <w:w w:val="85"/>
          <w:sz w:val="16"/>
          <w:lang w:eastAsia="ja-JP"/>
        </w:rPr>
        <w:t>1,5 IC ± 0,3</w:t>
      </w:r>
    </w:p>
    <w:p w14:paraId="39D6E79F" w14:textId="77777777" w:rsidR="0092721B" w:rsidRDefault="00D22738">
      <w:pPr>
        <w:spacing w:before="154" w:line="112" w:lineRule="exact"/>
        <w:ind w:left="422"/>
        <w:rPr>
          <w:sz w:val="16"/>
        </w:rPr>
      </w:pPr>
      <w:r>
        <w:rPr>
          <w:lang w:eastAsia="ja-JP"/>
        </w:rPr>
        <w:br w:type="column"/>
      </w:r>
      <w:r>
        <w:rPr>
          <w:w w:val="85"/>
          <w:sz w:val="16"/>
        </w:rPr>
        <w:t>0,7827</w:t>
      </w:r>
    </w:p>
    <w:p w14:paraId="04809D40" w14:textId="77777777" w:rsidR="0092721B" w:rsidRDefault="00D22738">
      <w:pPr>
        <w:spacing w:before="39"/>
        <w:ind w:left="422"/>
        <w:rPr>
          <w:sz w:val="16"/>
        </w:rPr>
      </w:pPr>
      <w:r>
        <w:br w:type="column"/>
      </w:r>
      <w:r>
        <w:rPr>
          <w:w w:val="85"/>
          <w:sz w:val="16"/>
        </w:rPr>
        <w:t>1,6 IC ± 0,2</w:t>
      </w:r>
    </w:p>
    <w:p w14:paraId="551D5599" w14:textId="77777777" w:rsidR="0092721B" w:rsidRDefault="00D22738">
      <w:pPr>
        <w:spacing w:before="154" w:line="112" w:lineRule="exact"/>
        <w:ind w:left="422"/>
        <w:rPr>
          <w:sz w:val="16"/>
        </w:rPr>
      </w:pPr>
      <w:r>
        <w:br w:type="column"/>
      </w:r>
      <w:r>
        <w:rPr>
          <w:w w:val="85"/>
          <w:sz w:val="16"/>
        </w:rPr>
        <w:t>0,9633</w:t>
      </w:r>
    </w:p>
    <w:p w14:paraId="6169B502" w14:textId="77777777" w:rsidR="0092721B" w:rsidRDefault="00D22738">
      <w:pPr>
        <w:spacing w:before="39"/>
        <w:ind w:left="422"/>
        <w:rPr>
          <w:sz w:val="16"/>
        </w:rPr>
      </w:pPr>
      <w:r>
        <w:br w:type="column"/>
      </w:r>
      <w:r>
        <w:rPr>
          <w:w w:val="85"/>
          <w:sz w:val="16"/>
        </w:rPr>
        <w:t>1,6 IC ± 0,2</w:t>
      </w:r>
    </w:p>
    <w:p w14:paraId="2F51F32E" w14:textId="77777777" w:rsidR="0092721B" w:rsidRDefault="00D22738">
      <w:pPr>
        <w:spacing w:before="154" w:line="112" w:lineRule="exact"/>
        <w:ind w:left="422"/>
        <w:rPr>
          <w:sz w:val="16"/>
        </w:rPr>
      </w:pPr>
      <w:r>
        <w:br w:type="column"/>
      </w:r>
      <w:r>
        <w:rPr>
          <w:w w:val="90"/>
          <w:sz w:val="16"/>
        </w:rPr>
        <w:t>0,0067</w:t>
      </w:r>
    </w:p>
    <w:p w14:paraId="75EB034D" w14:textId="77777777" w:rsidR="0092721B" w:rsidRDefault="0092721B">
      <w:pPr>
        <w:spacing w:line="112" w:lineRule="exact"/>
        <w:rPr>
          <w:sz w:val="16"/>
        </w:rPr>
        <w:sectPr w:rsidR="0092721B">
          <w:type w:val="continuous"/>
          <w:pgSz w:w="11910" w:h="16840"/>
          <w:pgMar w:top="760" w:right="440" w:bottom="280" w:left="720" w:header="814" w:footer="686" w:gutter="0"/>
          <w:cols w:num="7" w:space="720" w:equalWidth="0">
            <w:col w:w="1192" w:space="381"/>
            <w:col w:w="2221" w:space="299"/>
            <w:col w:w="864" w:space="300"/>
            <w:col w:w="1156" w:space="300"/>
            <w:col w:w="864" w:space="300"/>
            <w:col w:w="1156" w:space="300"/>
            <w:col w:w="1417"/>
          </w:cols>
        </w:sectPr>
      </w:pPr>
    </w:p>
    <w:p w14:paraId="53EA87C6" w14:textId="77777777" w:rsidR="0092721B" w:rsidRDefault="00D22738">
      <w:pPr>
        <w:tabs>
          <w:tab w:val="left" w:pos="1306"/>
          <w:tab w:val="left" w:pos="3926"/>
          <w:tab w:val="left" w:pos="6545"/>
        </w:tabs>
        <w:spacing w:before="3"/>
        <w:ind w:left="230"/>
        <w:jc w:val="center"/>
        <w:rPr>
          <w:sz w:val="16"/>
        </w:rPr>
      </w:pPr>
      <w:r>
        <w:rPr>
          <w:w w:val="95"/>
          <w:sz w:val="16"/>
        </w:rPr>
        <w:t>Exp</w:t>
      </w:r>
      <w:r>
        <w:rPr>
          <w:w w:val="95"/>
          <w:sz w:val="16"/>
        </w:rPr>
        <w:tab/>
      </w:r>
      <w:r>
        <w:rPr>
          <w:w w:val="85"/>
          <w:sz w:val="16"/>
        </w:rPr>
        <w:t>1,6 IC±</w:t>
      </w:r>
      <w:r>
        <w:rPr>
          <w:w w:val="85"/>
          <w:sz w:val="16"/>
        </w:rPr>
        <w:tab/>
        <w:t>0,31,7 IC±</w:t>
      </w:r>
      <w:r>
        <w:rPr>
          <w:w w:val="85"/>
          <w:sz w:val="16"/>
        </w:rPr>
        <w:tab/>
        <w:t>0,32,0 IC±0,2</w:t>
      </w:r>
    </w:p>
    <w:p w14:paraId="676798DC"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0C601946" w14:textId="77777777" w:rsidR="0092721B" w:rsidRDefault="00D22738">
      <w:pPr>
        <w:spacing w:before="161" w:line="112" w:lineRule="exact"/>
        <w:ind w:left="477"/>
        <w:rPr>
          <w:sz w:val="16"/>
        </w:rPr>
      </w:pPr>
      <w:r>
        <w:rPr>
          <w:w w:val="85"/>
          <w:sz w:val="16"/>
        </w:rPr>
        <w:t>白血球</w:t>
      </w:r>
    </w:p>
    <w:p w14:paraId="5DB654BD" w14:textId="77777777" w:rsidR="0092721B" w:rsidRDefault="00D22738">
      <w:pPr>
        <w:tabs>
          <w:tab w:val="left" w:pos="1542"/>
        </w:tabs>
        <w:spacing w:before="46"/>
        <w:ind w:left="477"/>
        <w:rPr>
          <w:sz w:val="16"/>
        </w:rPr>
      </w:pPr>
      <w:r>
        <w:br w:type="column"/>
      </w:r>
      <w:r>
        <w:rPr>
          <w:w w:val="95"/>
          <w:sz w:val="16"/>
        </w:rPr>
        <w:t>Ctrl</w:t>
      </w:r>
      <w:r>
        <w:rPr>
          <w:w w:val="95"/>
          <w:sz w:val="16"/>
        </w:rPr>
        <w:tab/>
      </w:r>
      <w:r>
        <w:rPr>
          <w:w w:val="85"/>
          <w:sz w:val="16"/>
        </w:rPr>
        <w:t>2,6 IC ± 0,4</w:t>
      </w:r>
    </w:p>
    <w:p w14:paraId="36DDCD59" w14:textId="77777777" w:rsidR="0092721B" w:rsidRDefault="00D22738">
      <w:pPr>
        <w:spacing w:before="161" w:line="112" w:lineRule="exact"/>
        <w:ind w:left="477"/>
        <w:rPr>
          <w:sz w:val="16"/>
        </w:rPr>
      </w:pPr>
      <w:r>
        <w:br w:type="column"/>
      </w:r>
      <w:r>
        <w:rPr>
          <w:w w:val="85"/>
          <w:sz w:val="16"/>
        </w:rPr>
        <w:t>0,2582</w:t>
      </w:r>
    </w:p>
    <w:p w14:paraId="761B9E61" w14:textId="77777777" w:rsidR="0092721B" w:rsidRDefault="00D22738">
      <w:pPr>
        <w:spacing w:before="46"/>
        <w:ind w:left="477"/>
        <w:rPr>
          <w:sz w:val="16"/>
        </w:rPr>
      </w:pPr>
      <w:r>
        <w:br w:type="column"/>
      </w:r>
      <w:r>
        <w:rPr>
          <w:w w:val="85"/>
          <w:sz w:val="16"/>
        </w:rPr>
        <w:t>3,1 IC ± 0,3</w:t>
      </w:r>
    </w:p>
    <w:p w14:paraId="1C97E148" w14:textId="77777777" w:rsidR="0092721B" w:rsidRDefault="00D22738">
      <w:pPr>
        <w:spacing w:before="161" w:line="112" w:lineRule="exact"/>
        <w:ind w:left="477"/>
        <w:rPr>
          <w:sz w:val="16"/>
        </w:rPr>
      </w:pPr>
      <w:r>
        <w:br w:type="column"/>
      </w:r>
      <w:r>
        <w:rPr>
          <w:w w:val="85"/>
          <w:sz w:val="16"/>
        </w:rPr>
        <w:t>0,4842</w:t>
      </w:r>
    </w:p>
    <w:p w14:paraId="09AA4C52" w14:textId="77777777" w:rsidR="0092721B" w:rsidRDefault="00D22738">
      <w:pPr>
        <w:spacing w:before="46"/>
        <w:ind w:left="477"/>
        <w:rPr>
          <w:sz w:val="16"/>
        </w:rPr>
      </w:pPr>
      <w:r>
        <w:br w:type="column"/>
      </w:r>
      <w:r>
        <w:rPr>
          <w:w w:val="85"/>
          <w:sz w:val="16"/>
        </w:rPr>
        <w:t>3,3 IC ± 0,2</w:t>
      </w:r>
    </w:p>
    <w:p w14:paraId="653E8C00" w14:textId="77777777" w:rsidR="0092721B" w:rsidRDefault="00D22738">
      <w:pPr>
        <w:spacing w:before="161" w:line="112" w:lineRule="exact"/>
        <w:ind w:left="477"/>
        <w:rPr>
          <w:sz w:val="16"/>
        </w:rPr>
      </w:pPr>
      <w:r>
        <w:br w:type="column"/>
      </w:r>
      <w:r>
        <w:rPr>
          <w:w w:val="90"/>
          <w:sz w:val="16"/>
        </w:rPr>
        <w:t>0,0002</w:t>
      </w:r>
    </w:p>
    <w:p w14:paraId="2B8DCE44" w14:textId="77777777" w:rsidR="0092721B" w:rsidRDefault="0092721B">
      <w:pPr>
        <w:spacing w:line="112" w:lineRule="exact"/>
        <w:rPr>
          <w:sz w:val="16"/>
        </w:rPr>
        <w:sectPr w:rsidR="0092721B">
          <w:type w:val="continuous"/>
          <w:pgSz w:w="11910" w:h="16840"/>
          <w:pgMar w:top="760" w:right="440" w:bottom="280" w:left="720" w:header="814" w:footer="686" w:gutter="0"/>
          <w:cols w:num="7" w:space="720" w:equalWidth="0">
            <w:col w:w="1137" w:space="380"/>
            <w:col w:w="2276" w:space="246"/>
            <w:col w:w="919" w:space="245"/>
            <w:col w:w="1211" w:space="245"/>
            <w:col w:w="919" w:space="244"/>
            <w:col w:w="1211" w:space="245"/>
            <w:col w:w="1472"/>
          </w:cols>
        </w:sectPr>
      </w:pPr>
    </w:p>
    <w:p w14:paraId="7A2EE09D" w14:textId="77777777" w:rsidR="0092721B" w:rsidRDefault="00D22738">
      <w:pPr>
        <w:tabs>
          <w:tab w:val="left" w:pos="1307"/>
          <w:tab w:val="left" w:pos="3926"/>
          <w:tab w:val="left" w:pos="6546"/>
        </w:tabs>
        <w:spacing w:before="3"/>
        <w:ind w:left="231"/>
        <w:jc w:val="center"/>
        <w:rPr>
          <w:sz w:val="16"/>
        </w:rPr>
      </w:pPr>
      <w:r>
        <w:rPr>
          <w:w w:val="95"/>
          <w:sz w:val="16"/>
        </w:rPr>
        <w:t>Exp</w:t>
      </w:r>
      <w:r>
        <w:rPr>
          <w:w w:val="95"/>
          <w:sz w:val="16"/>
        </w:rPr>
        <w:tab/>
      </w:r>
      <w:r>
        <w:rPr>
          <w:w w:val="85"/>
          <w:sz w:val="16"/>
        </w:rPr>
        <w:t>2,8 IC±</w:t>
      </w:r>
      <w:r>
        <w:rPr>
          <w:w w:val="85"/>
          <w:sz w:val="16"/>
        </w:rPr>
        <w:tab/>
        <w:t>0,42,9 IC±</w:t>
      </w:r>
      <w:r>
        <w:rPr>
          <w:w w:val="85"/>
          <w:sz w:val="16"/>
        </w:rPr>
        <w:tab/>
        <w:t>0,32,5 IC±0,3</w:t>
      </w:r>
    </w:p>
    <w:p w14:paraId="736BE609"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0D64E2FB" w14:textId="77777777" w:rsidR="0092721B" w:rsidRDefault="00D22738">
      <w:pPr>
        <w:spacing w:before="160" w:line="112" w:lineRule="exact"/>
        <w:ind w:left="535"/>
        <w:rPr>
          <w:sz w:val="16"/>
        </w:rPr>
      </w:pPr>
      <w:r>
        <w:rPr>
          <w:w w:val="85"/>
          <w:sz w:val="16"/>
        </w:rPr>
        <w:t>血小板</w:t>
      </w:r>
    </w:p>
    <w:p w14:paraId="72646676" w14:textId="77777777" w:rsidR="0092721B" w:rsidRDefault="00D22738">
      <w:pPr>
        <w:tabs>
          <w:tab w:val="left" w:pos="1600"/>
        </w:tabs>
        <w:spacing w:before="46"/>
        <w:ind w:left="535"/>
        <w:rPr>
          <w:sz w:val="16"/>
        </w:rPr>
      </w:pPr>
      <w:r>
        <w:br w:type="column"/>
      </w:r>
      <w:r>
        <w:rPr>
          <w:w w:val="95"/>
          <w:sz w:val="16"/>
        </w:rPr>
        <w:t>Ctrl</w:t>
      </w:r>
      <w:r>
        <w:rPr>
          <w:w w:val="95"/>
          <w:sz w:val="16"/>
        </w:rPr>
        <w:tab/>
      </w:r>
      <w:r>
        <w:rPr>
          <w:w w:val="85"/>
          <w:sz w:val="16"/>
        </w:rPr>
        <w:t>2,4 IC ± 0,3</w:t>
      </w:r>
    </w:p>
    <w:p w14:paraId="10BBAE50" w14:textId="77777777" w:rsidR="0092721B" w:rsidRDefault="00D22738">
      <w:pPr>
        <w:spacing w:before="160" w:line="112" w:lineRule="exact"/>
        <w:ind w:left="535"/>
        <w:rPr>
          <w:sz w:val="16"/>
        </w:rPr>
      </w:pPr>
      <w:r>
        <w:br w:type="column"/>
      </w:r>
      <w:r>
        <w:rPr>
          <w:w w:val="85"/>
          <w:sz w:val="16"/>
        </w:rPr>
        <w:t>0,0816</w:t>
      </w:r>
    </w:p>
    <w:p w14:paraId="0B1AE6D7" w14:textId="77777777" w:rsidR="0092721B" w:rsidRDefault="00D22738">
      <w:pPr>
        <w:spacing w:before="46"/>
        <w:ind w:left="535"/>
        <w:rPr>
          <w:sz w:val="16"/>
        </w:rPr>
      </w:pPr>
      <w:r>
        <w:br w:type="column"/>
      </w:r>
      <w:r>
        <w:rPr>
          <w:w w:val="85"/>
          <w:sz w:val="16"/>
        </w:rPr>
        <w:t>2,7 IC ± 0,2</w:t>
      </w:r>
    </w:p>
    <w:p w14:paraId="22168D4A" w14:textId="77777777" w:rsidR="0092721B" w:rsidRDefault="00D22738">
      <w:pPr>
        <w:spacing w:before="160" w:line="112" w:lineRule="exact"/>
        <w:ind w:left="535"/>
        <w:rPr>
          <w:sz w:val="16"/>
        </w:rPr>
      </w:pPr>
      <w:r>
        <w:br w:type="column"/>
      </w:r>
      <w:r>
        <w:rPr>
          <w:w w:val="85"/>
          <w:sz w:val="16"/>
        </w:rPr>
        <w:t>0,0202</w:t>
      </w:r>
    </w:p>
    <w:p w14:paraId="563718C9" w14:textId="77777777" w:rsidR="0092721B" w:rsidRDefault="00D22738">
      <w:pPr>
        <w:spacing w:before="46"/>
        <w:ind w:left="535"/>
        <w:rPr>
          <w:sz w:val="16"/>
        </w:rPr>
      </w:pPr>
      <w:r>
        <w:br w:type="column"/>
      </w:r>
      <w:r>
        <w:rPr>
          <w:w w:val="85"/>
          <w:sz w:val="16"/>
        </w:rPr>
        <w:t>3,0 IC ± 0,2</w:t>
      </w:r>
    </w:p>
    <w:p w14:paraId="1ABECD1C" w14:textId="77777777" w:rsidR="0092721B" w:rsidRDefault="00D22738">
      <w:pPr>
        <w:spacing w:before="160" w:line="112" w:lineRule="exact"/>
        <w:ind w:left="499" w:right="550"/>
        <w:jc w:val="center"/>
        <w:rPr>
          <w:sz w:val="16"/>
        </w:rPr>
      </w:pPr>
      <w:r>
        <w:br w:type="column"/>
      </w:r>
      <w:r>
        <w:rPr>
          <w:w w:val="90"/>
          <w:sz w:val="16"/>
        </w:rPr>
        <w:t>0,0212</w:t>
      </w:r>
    </w:p>
    <w:p w14:paraId="24CF68D7" w14:textId="77777777" w:rsidR="0092721B" w:rsidRDefault="0092721B">
      <w:pPr>
        <w:spacing w:line="112" w:lineRule="exact"/>
        <w:jc w:val="center"/>
        <w:rPr>
          <w:sz w:val="16"/>
        </w:rPr>
        <w:sectPr w:rsidR="0092721B">
          <w:type w:val="continuous"/>
          <w:pgSz w:w="11910" w:h="16840"/>
          <w:pgMar w:top="760" w:right="440" w:bottom="280" w:left="720" w:header="814" w:footer="686" w:gutter="0"/>
          <w:cols w:num="7" w:space="720" w:equalWidth="0">
            <w:col w:w="1079" w:space="380"/>
            <w:col w:w="2335" w:space="187"/>
            <w:col w:w="977" w:space="186"/>
            <w:col w:w="1269" w:space="187"/>
            <w:col w:w="977" w:space="186"/>
            <w:col w:w="1269" w:space="187"/>
            <w:col w:w="1531"/>
          </w:cols>
        </w:sectPr>
      </w:pPr>
    </w:p>
    <w:p w14:paraId="43F5C663" w14:textId="77777777" w:rsidR="0092721B" w:rsidRDefault="00D22738">
      <w:pPr>
        <w:tabs>
          <w:tab w:val="left" w:pos="1307"/>
          <w:tab w:val="left" w:pos="3927"/>
          <w:tab w:val="left" w:pos="6546"/>
        </w:tabs>
        <w:spacing w:before="3"/>
        <w:ind w:left="231"/>
        <w:jc w:val="center"/>
        <w:rPr>
          <w:sz w:val="16"/>
        </w:rPr>
      </w:pPr>
      <w:r>
        <w:rPr>
          <w:w w:val="95"/>
          <w:sz w:val="16"/>
        </w:rPr>
        <w:t>Exp</w:t>
      </w:r>
      <w:r>
        <w:rPr>
          <w:w w:val="95"/>
          <w:sz w:val="16"/>
        </w:rPr>
        <w:tab/>
      </w:r>
      <w:r>
        <w:rPr>
          <w:w w:val="85"/>
          <w:sz w:val="16"/>
        </w:rPr>
        <w:t>2,7 IC±</w:t>
      </w:r>
      <w:r>
        <w:rPr>
          <w:w w:val="85"/>
          <w:sz w:val="16"/>
        </w:rPr>
        <w:tab/>
        <w:t>0,33,3 IC±</w:t>
      </w:r>
      <w:r>
        <w:rPr>
          <w:w w:val="85"/>
          <w:sz w:val="16"/>
        </w:rPr>
        <w:tab/>
        <w:t>0,42,6 IC±0,3</w:t>
      </w:r>
    </w:p>
    <w:p w14:paraId="46C8AC57"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1B88606C" w14:textId="77777777" w:rsidR="0092721B" w:rsidRDefault="00D22738">
      <w:pPr>
        <w:spacing w:before="161" w:line="112" w:lineRule="exact"/>
        <w:ind w:left="422"/>
        <w:rPr>
          <w:sz w:val="16"/>
          <w:lang w:eastAsia="ja-JP"/>
        </w:rPr>
      </w:pPr>
      <w:r>
        <w:rPr>
          <w:w w:val="80"/>
          <w:sz w:val="16"/>
          <w:lang w:eastAsia="ja-JP"/>
        </w:rPr>
        <w:t>PCリアクティブ</w:t>
      </w:r>
    </w:p>
    <w:p w14:paraId="59E7C867" w14:textId="77777777" w:rsidR="0092721B" w:rsidRDefault="00D22738">
      <w:pPr>
        <w:tabs>
          <w:tab w:val="left" w:pos="1488"/>
        </w:tabs>
        <w:spacing w:before="46"/>
        <w:ind w:left="422"/>
        <w:rPr>
          <w:sz w:val="16"/>
          <w:lang w:eastAsia="ja-JP"/>
        </w:rPr>
      </w:pPr>
      <w:r>
        <w:rPr>
          <w:lang w:eastAsia="ja-JP"/>
        </w:rPr>
        <w:br w:type="column"/>
      </w:r>
      <w:r>
        <w:rPr>
          <w:w w:val="95"/>
          <w:sz w:val="16"/>
          <w:lang w:eastAsia="ja-JP"/>
        </w:rPr>
        <w:t>Ctrl</w:t>
      </w:r>
      <w:r>
        <w:rPr>
          <w:w w:val="95"/>
          <w:sz w:val="16"/>
          <w:lang w:eastAsia="ja-JP"/>
        </w:rPr>
        <w:tab/>
      </w:r>
      <w:r>
        <w:rPr>
          <w:w w:val="85"/>
          <w:sz w:val="16"/>
          <w:lang w:eastAsia="ja-JP"/>
        </w:rPr>
        <w:t>3,2 IC ± 0,2</w:t>
      </w:r>
    </w:p>
    <w:p w14:paraId="2C0007F6" w14:textId="77777777" w:rsidR="0092721B" w:rsidRDefault="00D22738">
      <w:pPr>
        <w:spacing w:before="161" w:line="112" w:lineRule="exact"/>
        <w:ind w:left="422"/>
        <w:rPr>
          <w:sz w:val="16"/>
        </w:rPr>
      </w:pPr>
      <w:r>
        <w:rPr>
          <w:lang w:eastAsia="ja-JP"/>
        </w:rPr>
        <w:br w:type="column"/>
      </w:r>
      <w:r>
        <w:rPr>
          <w:w w:val="85"/>
          <w:sz w:val="16"/>
        </w:rPr>
        <w:t>0,0398</w:t>
      </w:r>
    </w:p>
    <w:p w14:paraId="183E3B77" w14:textId="77777777" w:rsidR="0092721B" w:rsidRDefault="00D22738">
      <w:pPr>
        <w:spacing w:before="46"/>
        <w:ind w:left="422"/>
        <w:rPr>
          <w:sz w:val="16"/>
        </w:rPr>
      </w:pPr>
      <w:r>
        <w:br w:type="column"/>
      </w:r>
      <w:r>
        <w:rPr>
          <w:w w:val="85"/>
          <w:sz w:val="16"/>
        </w:rPr>
        <w:t>3,4 IC ± 0,2</w:t>
      </w:r>
    </w:p>
    <w:p w14:paraId="267C0891" w14:textId="77777777" w:rsidR="0092721B" w:rsidRDefault="00D22738">
      <w:pPr>
        <w:spacing w:before="161" w:line="112" w:lineRule="exact"/>
        <w:ind w:left="422"/>
        <w:rPr>
          <w:sz w:val="16"/>
        </w:rPr>
      </w:pPr>
      <w:r>
        <w:br w:type="column"/>
      </w:r>
      <w:r>
        <w:rPr>
          <w:w w:val="85"/>
          <w:sz w:val="16"/>
        </w:rPr>
        <w:t>0,0001</w:t>
      </w:r>
    </w:p>
    <w:p w14:paraId="7F616F53" w14:textId="77777777" w:rsidR="0092721B" w:rsidRDefault="00D22738">
      <w:pPr>
        <w:spacing w:before="46"/>
        <w:ind w:left="422"/>
        <w:rPr>
          <w:sz w:val="16"/>
        </w:rPr>
      </w:pPr>
      <w:r>
        <w:br w:type="column"/>
      </w:r>
      <w:r>
        <w:rPr>
          <w:w w:val="85"/>
          <w:sz w:val="16"/>
        </w:rPr>
        <w:t>3,5 IC ± 0,2</w:t>
      </w:r>
    </w:p>
    <w:p w14:paraId="57F8BC63" w14:textId="77777777" w:rsidR="0092721B" w:rsidRDefault="00D22738">
      <w:pPr>
        <w:spacing w:before="161" w:line="112" w:lineRule="exact"/>
        <w:ind w:left="422"/>
        <w:rPr>
          <w:sz w:val="16"/>
        </w:rPr>
      </w:pPr>
      <w:r>
        <w:br w:type="column"/>
      </w:r>
      <w:r>
        <w:rPr>
          <w:w w:val="90"/>
          <w:sz w:val="16"/>
        </w:rPr>
        <w:t>0,0000</w:t>
      </w:r>
    </w:p>
    <w:p w14:paraId="7C5FF7E7" w14:textId="77777777" w:rsidR="0092721B" w:rsidRDefault="0092721B">
      <w:pPr>
        <w:spacing w:line="112" w:lineRule="exact"/>
        <w:rPr>
          <w:sz w:val="16"/>
        </w:rPr>
        <w:sectPr w:rsidR="0092721B">
          <w:type w:val="continuous"/>
          <w:pgSz w:w="11910" w:h="16840"/>
          <w:pgMar w:top="760" w:right="440" w:bottom="280" w:left="720" w:header="814" w:footer="686" w:gutter="0"/>
          <w:cols w:num="7" w:space="720" w:equalWidth="0">
            <w:col w:w="1193" w:space="380"/>
            <w:col w:w="2222" w:space="298"/>
            <w:col w:w="865" w:space="299"/>
            <w:col w:w="1157" w:space="299"/>
            <w:col w:w="865" w:space="299"/>
            <w:col w:w="1157" w:space="299"/>
            <w:col w:w="1417"/>
          </w:cols>
        </w:sectPr>
      </w:pPr>
    </w:p>
    <w:p w14:paraId="08B6663D" w14:textId="77777777" w:rsidR="0092721B" w:rsidRDefault="00D22738">
      <w:pPr>
        <w:tabs>
          <w:tab w:val="left" w:pos="1308"/>
          <w:tab w:val="left" w:pos="3927"/>
          <w:tab w:val="left" w:pos="6547"/>
        </w:tabs>
        <w:spacing w:before="3"/>
        <w:ind w:left="232"/>
        <w:jc w:val="center"/>
        <w:rPr>
          <w:sz w:val="16"/>
        </w:rPr>
      </w:pPr>
      <w:r>
        <w:rPr>
          <w:w w:val="95"/>
          <w:sz w:val="16"/>
        </w:rPr>
        <w:t>Exp</w:t>
      </w:r>
      <w:r>
        <w:rPr>
          <w:w w:val="95"/>
          <w:sz w:val="16"/>
        </w:rPr>
        <w:tab/>
      </w:r>
      <w:r>
        <w:rPr>
          <w:w w:val="85"/>
          <w:sz w:val="16"/>
        </w:rPr>
        <w:t>3,0 IC±</w:t>
      </w:r>
      <w:r>
        <w:rPr>
          <w:w w:val="85"/>
          <w:sz w:val="16"/>
        </w:rPr>
        <w:tab/>
        <w:t>0,02,0 IC±</w:t>
      </w:r>
      <w:r>
        <w:rPr>
          <w:w w:val="85"/>
          <w:sz w:val="16"/>
        </w:rPr>
        <w:tab/>
        <w:t>0,51,4 IC±0,2</w:t>
      </w:r>
    </w:p>
    <w:p w14:paraId="587CD573"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48158BD2" w14:textId="77777777" w:rsidR="0092721B" w:rsidRDefault="00D22738">
      <w:pPr>
        <w:spacing w:before="161" w:line="112" w:lineRule="exact"/>
        <w:ind w:left="459"/>
        <w:rPr>
          <w:sz w:val="16"/>
        </w:rPr>
      </w:pPr>
      <w:r>
        <w:rPr>
          <w:w w:val="80"/>
          <w:sz w:val="16"/>
        </w:rPr>
        <w:t>乳酸DH</w:t>
      </w:r>
    </w:p>
    <w:p w14:paraId="7DA1D878" w14:textId="77777777" w:rsidR="0092721B" w:rsidRDefault="00D22738">
      <w:pPr>
        <w:tabs>
          <w:tab w:val="left" w:pos="1524"/>
        </w:tabs>
        <w:spacing w:before="46"/>
        <w:ind w:left="459"/>
        <w:rPr>
          <w:sz w:val="16"/>
        </w:rPr>
      </w:pPr>
      <w:r>
        <w:br w:type="column"/>
      </w:r>
      <w:r>
        <w:rPr>
          <w:w w:val="95"/>
          <w:sz w:val="16"/>
        </w:rPr>
        <w:t>Ctrl</w:t>
      </w:r>
      <w:r>
        <w:rPr>
          <w:w w:val="95"/>
          <w:sz w:val="16"/>
        </w:rPr>
        <w:tab/>
      </w:r>
      <w:r>
        <w:rPr>
          <w:w w:val="85"/>
          <w:sz w:val="16"/>
        </w:rPr>
        <w:t>2,6 IC ± 0,3</w:t>
      </w:r>
    </w:p>
    <w:p w14:paraId="44FA63FC" w14:textId="77777777" w:rsidR="0092721B" w:rsidRDefault="00D22738">
      <w:pPr>
        <w:spacing w:before="161" w:line="112" w:lineRule="exact"/>
        <w:ind w:left="459"/>
        <w:rPr>
          <w:sz w:val="16"/>
        </w:rPr>
      </w:pPr>
      <w:r>
        <w:br w:type="column"/>
      </w:r>
      <w:r>
        <w:rPr>
          <w:w w:val="85"/>
          <w:sz w:val="16"/>
        </w:rPr>
        <w:t>0,0422</w:t>
      </w:r>
    </w:p>
    <w:p w14:paraId="54DAA611" w14:textId="77777777" w:rsidR="0092721B" w:rsidRDefault="00D22738">
      <w:pPr>
        <w:spacing w:before="46"/>
        <w:ind w:left="459"/>
        <w:rPr>
          <w:sz w:val="16"/>
        </w:rPr>
      </w:pPr>
      <w:r>
        <w:br w:type="column"/>
      </w:r>
      <w:r>
        <w:rPr>
          <w:w w:val="85"/>
          <w:sz w:val="16"/>
        </w:rPr>
        <w:t>2,7 IC ± 0,3</w:t>
      </w:r>
    </w:p>
    <w:p w14:paraId="6321CD1D" w14:textId="77777777" w:rsidR="0092721B" w:rsidRDefault="00D22738">
      <w:pPr>
        <w:spacing w:before="161" w:line="112" w:lineRule="exact"/>
        <w:ind w:left="459"/>
        <w:rPr>
          <w:sz w:val="16"/>
        </w:rPr>
      </w:pPr>
      <w:r>
        <w:br w:type="column"/>
      </w:r>
      <w:r>
        <w:rPr>
          <w:w w:val="85"/>
          <w:sz w:val="16"/>
        </w:rPr>
        <w:t>0,0036</w:t>
      </w:r>
    </w:p>
    <w:p w14:paraId="22C6C3CE" w14:textId="77777777" w:rsidR="0092721B" w:rsidRDefault="00D22738">
      <w:pPr>
        <w:spacing w:before="46"/>
        <w:ind w:left="459"/>
        <w:rPr>
          <w:sz w:val="16"/>
        </w:rPr>
      </w:pPr>
      <w:r>
        <w:br w:type="column"/>
      </w:r>
      <w:r>
        <w:rPr>
          <w:w w:val="85"/>
          <w:sz w:val="16"/>
        </w:rPr>
        <w:t>2,7 IC ± 0,2</w:t>
      </w:r>
    </w:p>
    <w:p w14:paraId="3E526963" w14:textId="77777777" w:rsidR="0092721B" w:rsidRDefault="00D22738">
      <w:pPr>
        <w:spacing w:before="161" w:line="112" w:lineRule="exact"/>
        <w:ind w:left="459"/>
        <w:rPr>
          <w:sz w:val="16"/>
        </w:rPr>
      </w:pPr>
      <w:r>
        <w:br w:type="column"/>
      </w:r>
      <w:r>
        <w:rPr>
          <w:w w:val="90"/>
          <w:sz w:val="16"/>
        </w:rPr>
        <w:t>0,0000</w:t>
      </w:r>
    </w:p>
    <w:p w14:paraId="7AA1D39A" w14:textId="77777777" w:rsidR="0092721B" w:rsidRDefault="0092721B">
      <w:pPr>
        <w:spacing w:line="112" w:lineRule="exact"/>
        <w:rPr>
          <w:sz w:val="16"/>
        </w:rPr>
        <w:sectPr w:rsidR="0092721B">
          <w:type w:val="continuous"/>
          <w:pgSz w:w="11910" w:h="16840"/>
          <w:pgMar w:top="760" w:right="440" w:bottom="280" w:left="720" w:header="814" w:footer="686" w:gutter="0"/>
          <w:cols w:num="7" w:space="720" w:equalWidth="0">
            <w:col w:w="1156" w:space="380"/>
            <w:col w:w="2259" w:space="262"/>
            <w:col w:w="901" w:space="262"/>
            <w:col w:w="1193" w:space="263"/>
            <w:col w:w="901" w:space="263"/>
            <w:col w:w="1193" w:space="263"/>
            <w:col w:w="1454"/>
          </w:cols>
        </w:sectPr>
      </w:pPr>
    </w:p>
    <w:p w14:paraId="2D3FB694" w14:textId="77777777" w:rsidR="0092721B" w:rsidRDefault="00D22738">
      <w:pPr>
        <w:tabs>
          <w:tab w:val="left" w:pos="1308"/>
          <w:tab w:val="left" w:pos="3928"/>
          <w:tab w:val="left" w:pos="6547"/>
        </w:tabs>
        <w:spacing w:before="3"/>
        <w:ind w:left="232"/>
        <w:jc w:val="center"/>
        <w:rPr>
          <w:sz w:val="16"/>
        </w:rPr>
      </w:pPr>
      <w:r>
        <w:rPr>
          <w:w w:val="95"/>
          <w:sz w:val="16"/>
        </w:rPr>
        <w:t>Exp</w:t>
      </w:r>
      <w:r>
        <w:rPr>
          <w:w w:val="95"/>
          <w:sz w:val="16"/>
        </w:rPr>
        <w:tab/>
      </w:r>
      <w:r>
        <w:rPr>
          <w:w w:val="85"/>
          <w:sz w:val="16"/>
        </w:rPr>
        <w:t>3,2 IC±</w:t>
      </w:r>
      <w:r>
        <w:rPr>
          <w:w w:val="85"/>
          <w:sz w:val="16"/>
        </w:rPr>
        <w:tab/>
        <w:t>0,41,9 IC±</w:t>
      </w:r>
      <w:r>
        <w:rPr>
          <w:w w:val="85"/>
          <w:sz w:val="16"/>
        </w:rPr>
        <w:tab/>
        <w:t>0,41,5 IC±0,2</w:t>
      </w:r>
    </w:p>
    <w:p w14:paraId="004C1A85"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02A21020" w14:textId="77777777" w:rsidR="0092721B" w:rsidRDefault="00D22738">
      <w:pPr>
        <w:spacing w:before="161" w:line="112" w:lineRule="exact"/>
        <w:ind w:right="38"/>
        <w:jc w:val="right"/>
        <w:rPr>
          <w:sz w:val="16"/>
        </w:rPr>
      </w:pPr>
      <w:r>
        <w:rPr>
          <w:w w:val="90"/>
          <w:sz w:val="16"/>
        </w:rPr>
        <w:t>AST</w:t>
      </w:r>
    </w:p>
    <w:p w14:paraId="1E514AC2" w14:textId="77777777" w:rsidR="0092721B" w:rsidRDefault="00D22738">
      <w:pPr>
        <w:tabs>
          <w:tab w:val="left" w:pos="1726"/>
        </w:tabs>
        <w:spacing w:before="46"/>
        <w:ind w:left="661"/>
        <w:rPr>
          <w:sz w:val="16"/>
        </w:rPr>
      </w:pPr>
      <w:r>
        <w:br w:type="column"/>
      </w:r>
      <w:r>
        <w:rPr>
          <w:w w:val="95"/>
          <w:sz w:val="16"/>
        </w:rPr>
        <w:t>Ctrl</w:t>
      </w:r>
      <w:r>
        <w:rPr>
          <w:w w:val="95"/>
          <w:sz w:val="16"/>
        </w:rPr>
        <w:tab/>
      </w:r>
      <w:r>
        <w:rPr>
          <w:w w:val="85"/>
          <w:sz w:val="16"/>
        </w:rPr>
        <w:t>3,2 IC ± 0,4</w:t>
      </w:r>
    </w:p>
    <w:p w14:paraId="2FADBFFE" w14:textId="77777777" w:rsidR="0092721B" w:rsidRDefault="00D22738">
      <w:pPr>
        <w:spacing w:before="161" w:line="112" w:lineRule="exact"/>
        <w:ind w:left="661"/>
        <w:rPr>
          <w:sz w:val="16"/>
        </w:rPr>
      </w:pPr>
      <w:r>
        <w:br w:type="column"/>
      </w:r>
      <w:r>
        <w:rPr>
          <w:w w:val="85"/>
          <w:sz w:val="16"/>
        </w:rPr>
        <w:t>0,5319</w:t>
      </w:r>
    </w:p>
    <w:p w14:paraId="37AB50D2" w14:textId="77777777" w:rsidR="0092721B" w:rsidRDefault="00D22738">
      <w:pPr>
        <w:spacing w:before="46"/>
        <w:ind w:left="661"/>
        <w:rPr>
          <w:sz w:val="16"/>
        </w:rPr>
      </w:pPr>
      <w:r>
        <w:br w:type="column"/>
      </w:r>
      <w:r>
        <w:rPr>
          <w:w w:val="85"/>
          <w:sz w:val="16"/>
        </w:rPr>
        <w:t>3,2 IC ± 0,3</w:t>
      </w:r>
    </w:p>
    <w:p w14:paraId="42486CCE" w14:textId="77777777" w:rsidR="0092721B" w:rsidRDefault="00D22738">
      <w:pPr>
        <w:spacing w:before="161" w:line="112" w:lineRule="exact"/>
        <w:ind w:left="661"/>
        <w:rPr>
          <w:sz w:val="16"/>
        </w:rPr>
      </w:pPr>
      <w:r>
        <w:br w:type="column"/>
      </w:r>
      <w:r>
        <w:rPr>
          <w:w w:val="85"/>
          <w:sz w:val="16"/>
        </w:rPr>
        <w:t>0,0403</w:t>
      </w:r>
    </w:p>
    <w:p w14:paraId="6F82FB31" w14:textId="77777777" w:rsidR="0092721B" w:rsidRDefault="00D22738">
      <w:pPr>
        <w:spacing w:before="46"/>
        <w:ind w:left="661"/>
        <w:rPr>
          <w:sz w:val="16"/>
        </w:rPr>
      </w:pPr>
      <w:r>
        <w:br w:type="column"/>
      </w:r>
      <w:r>
        <w:rPr>
          <w:w w:val="85"/>
          <w:sz w:val="16"/>
        </w:rPr>
        <w:t>3,5 IC ± 0,3</w:t>
      </w:r>
    </w:p>
    <w:p w14:paraId="0EEB7745" w14:textId="77777777" w:rsidR="0092721B" w:rsidRDefault="00D22738">
      <w:pPr>
        <w:spacing w:before="161" w:line="112" w:lineRule="exact"/>
        <w:ind w:left="624" w:right="551"/>
        <w:jc w:val="center"/>
        <w:rPr>
          <w:sz w:val="16"/>
        </w:rPr>
      </w:pPr>
      <w:r>
        <w:br w:type="column"/>
      </w:r>
      <w:r>
        <w:rPr>
          <w:w w:val="90"/>
          <w:sz w:val="16"/>
        </w:rPr>
        <w:t>0,0000</w:t>
      </w:r>
    </w:p>
    <w:p w14:paraId="7A4B5E44" w14:textId="77777777" w:rsidR="0092721B" w:rsidRDefault="0092721B">
      <w:pPr>
        <w:spacing w:line="112" w:lineRule="exact"/>
        <w:jc w:val="center"/>
        <w:rPr>
          <w:sz w:val="16"/>
        </w:rPr>
        <w:sectPr w:rsidR="0092721B">
          <w:type w:val="continuous"/>
          <w:pgSz w:w="11910" w:h="16840"/>
          <w:pgMar w:top="760" w:right="440" w:bottom="280" w:left="720" w:header="814" w:footer="686" w:gutter="0"/>
          <w:cols w:num="7" w:space="720" w:equalWidth="0">
            <w:col w:w="957" w:space="377"/>
            <w:col w:w="2460" w:space="61"/>
            <w:col w:w="1103" w:space="61"/>
            <w:col w:w="1395" w:space="61"/>
            <w:col w:w="1103" w:space="60"/>
            <w:col w:w="1395" w:space="61"/>
            <w:col w:w="1656"/>
          </w:cols>
        </w:sectPr>
      </w:pPr>
    </w:p>
    <w:p w14:paraId="386C4C7E" w14:textId="77777777" w:rsidR="0092721B" w:rsidRDefault="00D22738">
      <w:pPr>
        <w:tabs>
          <w:tab w:val="left" w:pos="1309"/>
          <w:tab w:val="left" w:pos="3928"/>
          <w:tab w:val="left" w:pos="6548"/>
        </w:tabs>
        <w:spacing w:before="3"/>
        <w:ind w:left="233"/>
        <w:jc w:val="center"/>
        <w:rPr>
          <w:sz w:val="16"/>
        </w:rPr>
      </w:pPr>
      <w:r>
        <w:rPr>
          <w:w w:val="95"/>
          <w:sz w:val="16"/>
        </w:rPr>
        <w:t>Exp</w:t>
      </w:r>
      <w:r>
        <w:rPr>
          <w:w w:val="95"/>
          <w:sz w:val="16"/>
        </w:rPr>
        <w:tab/>
      </w:r>
      <w:r>
        <w:rPr>
          <w:w w:val="85"/>
          <w:sz w:val="16"/>
        </w:rPr>
        <w:t>3,2 IC±</w:t>
      </w:r>
      <w:r>
        <w:rPr>
          <w:w w:val="85"/>
          <w:sz w:val="16"/>
        </w:rPr>
        <w:tab/>
        <w:t>0,42,5 IC±</w:t>
      </w:r>
      <w:r>
        <w:rPr>
          <w:w w:val="85"/>
          <w:sz w:val="16"/>
        </w:rPr>
        <w:tab/>
        <w:t>0,61,9 IC±0,3</w:t>
      </w:r>
    </w:p>
    <w:p w14:paraId="2DBF45EE"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1DEA923B" w14:textId="77777777" w:rsidR="0092721B" w:rsidRDefault="00D22738">
      <w:pPr>
        <w:spacing w:before="161" w:line="112" w:lineRule="exact"/>
        <w:ind w:left="511"/>
        <w:rPr>
          <w:sz w:val="16"/>
          <w:lang w:eastAsia="ja-JP"/>
        </w:rPr>
      </w:pPr>
      <w:r>
        <w:rPr>
          <w:w w:val="80"/>
          <w:sz w:val="16"/>
          <w:lang w:eastAsia="ja-JP"/>
        </w:rPr>
        <w:t>ディメロD</w:t>
      </w:r>
    </w:p>
    <w:p w14:paraId="4AF8A1F2" w14:textId="77777777" w:rsidR="0092721B" w:rsidRDefault="00D22738">
      <w:pPr>
        <w:tabs>
          <w:tab w:val="left" w:pos="1576"/>
        </w:tabs>
        <w:spacing w:before="46"/>
        <w:ind w:left="511"/>
        <w:rPr>
          <w:sz w:val="16"/>
          <w:lang w:eastAsia="ja-JP"/>
        </w:rPr>
      </w:pPr>
      <w:r>
        <w:rPr>
          <w:lang w:eastAsia="ja-JP"/>
        </w:rPr>
        <w:br w:type="column"/>
      </w:r>
      <w:r>
        <w:rPr>
          <w:w w:val="95"/>
          <w:sz w:val="16"/>
          <w:lang w:eastAsia="ja-JP"/>
        </w:rPr>
        <w:t>Ctrl</w:t>
      </w:r>
      <w:r>
        <w:rPr>
          <w:w w:val="95"/>
          <w:sz w:val="16"/>
          <w:lang w:eastAsia="ja-JP"/>
        </w:rPr>
        <w:tab/>
      </w:r>
      <w:r>
        <w:rPr>
          <w:w w:val="85"/>
          <w:sz w:val="16"/>
          <w:lang w:eastAsia="ja-JP"/>
        </w:rPr>
        <w:t>3,1 IC ± 0,4</w:t>
      </w:r>
    </w:p>
    <w:p w14:paraId="3F69A9D0" w14:textId="77777777" w:rsidR="0092721B" w:rsidRDefault="00D22738">
      <w:pPr>
        <w:spacing w:before="161" w:line="112" w:lineRule="exact"/>
        <w:ind w:left="511"/>
        <w:rPr>
          <w:sz w:val="16"/>
        </w:rPr>
      </w:pPr>
      <w:r>
        <w:rPr>
          <w:lang w:eastAsia="ja-JP"/>
        </w:rPr>
        <w:br w:type="column"/>
      </w:r>
      <w:r>
        <w:rPr>
          <w:w w:val="85"/>
          <w:sz w:val="16"/>
        </w:rPr>
        <w:t>0,3060</w:t>
      </w:r>
    </w:p>
    <w:p w14:paraId="53A475CA" w14:textId="77777777" w:rsidR="0092721B" w:rsidRDefault="00D22738">
      <w:pPr>
        <w:spacing w:before="46"/>
        <w:ind w:left="511"/>
        <w:rPr>
          <w:sz w:val="16"/>
        </w:rPr>
      </w:pPr>
      <w:r>
        <w:br w:type="column"/>
      </w:r>
      <w:r>
        <w:rPr>
          <w:w w:val="85"/>
          <w:sz w:val="16"/>
        </w:rPr>
        <w:t>3,4 IC ± 0,4</w:t>
      </w:r>
    </w:p>
    <w:p w14:paraId="6747AF6E" w14:textId="77777777" w:rsidR="0092721B" w:rsidRDefault="00D22738">
      <w:pPr>
        <w:spacing w:before="161" w:line="112" w:lineRule="exact"/>
        <w:ind w:left="511"/>
        <w:rPr>
          <w:sz w:val="16"/>
        </w:rPr>
      </w:pPr>
      <w:r>
        <w:br w:type="column"/>
      </w:r>
      <w:r>
        <w:rPr>
          <w:w w:val="85"/>
          <w:sz w:val="16"/>
        </w:rPr>
        <w:t>0,0194</w:t>
      </w:r>
    </w:p>
    <w:p w14:paraId="44220220" w14:textId="77777777" w:rsidR="0092721B" w:rsidRDefault="00D22738">
      <w:pPr>
        <w:spacing w:before="46"/>
        <w:ind w:left="511"/>
        <w:rPr>
          <w:sz w:val="16"/>
        </w:rPr>
      </w:pPr>
      <w:r>
        <w:br w:type="column"/>
      </w:r>
      <w:r>
        <w:rPr>
          <w:w w:val="85"/>
          <w:sz w:val="16"/>
        </w:rPr>
        <w:t>3,5 IC ± 0,3</w:t>
      </w:r>
    </w:p>
    <w:p w14:paraId="67B8666E" w14:textId="77777777" w:rsidR="0092721B" w:rsidRDefault="00D22738">
      <w:pPr>
        <w:spacing w:before="161" w:line="112" w:lineRule="exact"/>
        <w:ind w:left="475" w:right="549"/>
        <w:jc w:val="center"/>
        <w:rPr>
          <w:sz w:val="16"/>
        </w:rPr>
      </w:pPr>
      <w:r>
        <w:br w:type="column"/>
      </w:r>
      <w:r>
        <w:rPr>
          <w:w w:val="90"/>
          <w:sz w:val="16"/>
        </w:rPr>
        <w:t>0,0029</w:t>
      </w:r>
    </w:p>
    <w:p w14:paraId="283E7DE0" w14:textId="77777777" w:rsidR="0092721B" w:rsidRDefault="0092721B">
      <w:pPr>
        <w:spacing w:line="112" w:lineRule="exact"/>
        <w:jc w:val="center"/>
        <w:rPr>
          <w:sz w:val="16"/>
        </w:rPr>
        <w:sectPr w:rsidR="0092721B">
          <w:type w:val="continuous"/>
          <w:pgSz w:w="11910" w:h="16840"/>
          <w:pgMar w:top="760" w:right="440" w:bottom="280" w:left="720" w:header="814" w:footer="686" w:gutter="0"/>
          <w:cols w:num="7" w:space="720" w:equalWidth="0">
            <w:col w:w="1106" w:space="379"/>
            <w:col w:w="2310" w:space="211"/>
            <w:col w:w="953" w:space="211"/>
            <w:col w:w="1245" w:space="210"/>
            <w:col w:w="953" w:space="211"/>
            <w:col w:w="1245" w:space="211"/>
            <w:col w:w="1505"/>
          </w:cols>
        </w:sectPr>
      </w:pPr>
    </w:p>
    <w:p w14:paraId="006FD425" w14:textId="77777777" w:rsidR="0092721B" w:rsidRDefault="00D22738">
      <w:pPr>
        <w:tabs>
          <w:tab w:val="left" w:pos="1309"/>
          <w:tab w:val="left" w:pos="3929"/>
          <w:tab w:val="left" w:pos="6548"/>
        </w:tabs>
        <w:spacing w:before="3"/>
        <w:ind w:left="233"/>
        <w:jc w:val="center"/>
        <w:rPr>
          <w:sz w:val="16"/>
        </w:rPr>
      </w:pPr>
      <w:r>
        <w:rPr>
          <w:w w:val="95"/>
          <w:sz w:val="16"/>
        </w:rPr>
        <w:t>Exp</w:t>
      </w:r>
      <w:r>
        <w:rPr>
          <w:w w:val="95"/>
          <w:sz w:val="16"/>
        </w:rPr>
        <w:tab/>
      </w:r>
      <w:r>
        <w:rPr>
          <w:w w:val="85"/>
          <w:sz w:val="16"/>
        </w:rPr>
        <w:t>3,4 IC±</w:t>
      </w:r>
      <w:r>
        <w:rPr>
          <w:w w:val="85"/>
          <w:sz w:val="16"/>
        </w:rPr>
        <w:tab/>
        <w:t>0,52,6 IC±</w:t>
      </w:r>
      <w:r>
        <w:rPr>
          <w:w w:val="85"/>
          <w:sz w:val="16"/>
        </w:rPr>
        <w:tab/>
        <w:t>0,42,6 IC±0,4</w:t>
      </w:r>
    </w:p>
    <w:p w14:paraId="5D2A33C8" w14:textId="77777777" w:rsidR="0092721B" w:rsidRDefault="0092721B">
      <w:pPr>
        <w:jc w:val="center"/>
        <w:rPr>
          <w:sz w:val="16"/>
        </w:rPr>
        <w:sectPr w:rsidR="0092721B">
          <w:type w:val="continuous"/>
          <w:pgSz w:w="11910" w:h="16840"/>
          <w:pgMar w:top="760" w:right="440" w:bottom="280" w:left="720" w:header="814" w:footer="686" w:gutter="0"/>
          <w:cols w:space="720"/>
        </w:sectPr>
      </w:pPr>
    </w:p>
    <w:p w14:paraId="37115D2B" w14:textId="77777777" w:rsidR="0092721B" w:rsidRDefault="00D22738">
      <w:pPr>
        <w:spacing w:before="161" w:line="112" w:lineRule="exact"/>
        <w:ind w:left="573"/>
        <w:rPr>
          <w:sz w:val="16"/>
        </w:rPr>
      </w:pPr>
      <w:r>
        <w:rPr>
          <w:w w:val="85"/>
          <w:sz w:val="16"/>
        </w:rPr>
        <w:t>乳酸</w:t>
      </w:r>
    </w:p>
    <w:p w14:paraId="303013F0" w14:textId="77777777" w:rsidR="0092721B" w:rsidRDefault="00D22738">
      <w:pPr>
        <w:tabs>
          <w:tab w:val="left" w:pos="1638"/>
        </w:tabs>
        <w:spacing w:before="46"/>
        <w:ind w:left="573"/>
        <w:rPr>
          <w:sz w:val="16"/>
        </w:rPr>
      </w:pPr>
      <w:r>
        <w:br w:type="column"/>
      </w:r>
      <w:r>
        <w:rPr>
          <w:w w:val="95"/>
          <w:sz w:val="16"/>
        </w:rPr>
        <w:t>Ctrl</w:t>
      </w:r>
      <w:r>
        <w:rPr>
          <w:w w:val="95"/>
          <w:sz w:val="16"/>
        </w:rPr>
        <w:tab/>
      </w:r>
      <w:r>
        <w:rPr>
          <w:w w:val="85"/>
          <w:sz w:val="16"/>
        </w:rPr>
        <w:t>1,9 IC ± 0,3</w:t>
      </w:r>
    </w:p>
    <w:p w14:paraId="3F79A572" w14:textId="77777777" w:rsidR="0092721B" w:rsidRDefault="00D22738">
      <w:pPr>
        <w:spacing w:before="161" w:line="112" w:lineRule="exact"/>
        <w:ind w:left="573"/>
        <w:rPr>
          <w:sz w:val="16"/>
        </w:rPr>
      </w:pPr>
      <w:r>
        <w:br w:type="column"/>
      </w:r>
      <w:r>
        <w:rPr>
          <w:w w:val="85"/>
          <w:sz w:val="16"/>
        </w:rPr>
        <w:t>0,0145</w:t>
      </w:r>
    </w:p>
    <w:p w14:paraId="38CCD64A" w14:textId="77777777" w:rsidR="0092721B" w:rsidRDefault="00D22738">
      <w:pPr>
        <w:spacing w:before="46"/>
        <w:ind w:left="573"/>
        <w:rPr>
          <w:sz w:val="16"/>
        </w:rPr>
      </w:pPr>
      <w:r>
        <w:br w:type="column"/>
      </w:r>
      <w:r>
        <w:rPr>
          <w:w w:val="85"/>
          <w:sz w:val="16"/>
        </w:rPr>
        <w:t>2,2 IC ± 0,2</w:t>
      </w:r>
    </w:p>
    <w:p w14:paraId="2545A07D" w14:textId="77777777" w:rsidR="0092721B" w:rsidRDefault="00D22738">
      <w:pPr>
        <w:spacing w:before="161" w:line="112" w:lineRule="exact"/>
        <w:ind w:left="573"/>
        <w:rPr>
          <w:sz w:val="16"/>
        </w:rPr>
      </w:pPr>
      <w:r>
        <w:br w:type="column"/>
      </w:r>
      <w:r>
        <w:rPr>
          <w:w w:val="85"/>
          <w:sz w:val="16"/>
        </w:rPr>
        <w:t>0,0003</w:t>
      </w:r>
    </w:p>
    <w:p w14:paraId="7B2A9973" w14:textId="77777777" w:rsidR="0092721B" w:rsidRDefault="00D22738">
      <w:pPr>
        <w:spacing w:before="46"/>
        <w:ind w:left="573"/>
        <w:rPr>
          <w:sz w:val="16"/>
        </w:rPr>
      </w:pPr>
      <w:r>
        <w:br w:type="column"/>
      </w:r>
      <w:r>
        <w:rPr>
          <w:w w:val="85"/>
          <w:sz w:val="16"/>
        </w:rPr>
        <w:t>2,5 IC ± 0,2</w:t>
      </w:r>
    </w:p>
    <w:p w14:paraId="2C4DB9E7" w14:textId="77777777" w:rsidR="0092721B" w:rsidRDefault="00D22738">
      <w:pPr>
        <w:spacing w:before="161" w:line="112" w:lineRule="exact"/>
        <w:ind w:left="537" w:right="549"/>
        <w:jc w:val="center"/>
        <w:rPr>
          <w:sz w:val="16"/>
        </w:rPr>
      </w:pPr>
      <w:r>
        <w:br w:type="column"/>
      </w:r>
      <w:r>
        <w:rPr>
          <w:w w:val="90"/>
          <w:sz w:val="16"/>
        </w:rPr>
        <w:t>0,0000</w:t>
      </w:r>
    </w:p>
    <w:p w14:paraId="3CE1A6C3" w14:textId="77777777" w:rsidR="0092721B" w:rsidRDefault="0092721B">
      <w:pPr>
        <w:spacing w:line="112" w:lineRule="exact"/>
        <w:jc w:val="center"/>
        <w:rPr>
          <w:sz w:val="16"/>
        </w:rPr>
        <w:sectPr w:rsidR="0092721B">
          <w:type w:val="continuous"/>
          <w:pgSz w:w="11910" w:h="16840"/>
          <w:pgMar w:top="760" w:right="440" w:bottom="280" w:left="720" w:header="814" w:footer="686" w:gutter="0"/>
          <w:cols w:num="7" w:space="720" w:equalWidth="0">
            <w:col w:w="1044" w:space="379"/>
            <w:col w:w="2372" w:space="149"/>
            <w:col w:w="1015" w:space="149"/>
            <w:col w:w="1307" w:space="149"/>
            <w:col w:w="1015" w:space="148"/>
            <w:col w:w="1307" w:space="149"/>
            <w:col w:w="1567"/>
          </w:cols>
        </w:sectPr>
      </w:pPr>
    </w:p>
    <w:p w14:paraId="37C76A7F" w14:textId="77777777" w:rsidR="0092721B" w:rsidRDefault="00D22738">
      <w:pPr>
        <w:tabs>
          <w:tab w:val="left" w:pos="1310"/>
          <w:tab w:val="left" w:pos="3929"/>
          <w:tab w:val="left" w:pos="6549"/>
        </w:tabs>
        <w:spacing w:before="3"/>
        <w:ind w:left="234"/>
        <w:jc w:val="center"/>
        <w:rPr>
          <w:sz w:val="16"/>
        </w:rPr>
      </w:pPr>
      <w:r>
        <w:rPr>
          <w:w w:val="95"/>
          <w:sz w:val="16"/>
        </w:rPr>
        <w:t>Exp</w:t>
      </w:r>
      <w:r>
        <w:rPr>
          <w:w w:val="95"/>
          <w:sz w:val="16"/>
        </w:rPr>
        <w:tab/>
      </w:r>
      <w:r>
        <w:rPr>
          <w:w w:val="85"/>
          <w:sz w:val="16"/>
        </w:rPr>
        <w:t>2,5 IC±</w:t>
      </w:r>
      <w:r>
        <w:rPr>
          <w:w w:val="85"/>
          <w:sz w:val="16"/>
        </w:rPr>
        <w:tab/>
        <w:t>0,41,5 IC±</w:t>
      </w:r>
      <w:r>
        <w:rPr>
          <w:w w:val="85"/>
          <w:sz w:val="16"/>
        </w:rPr>
        <w:tab/>
        <w:t>0,31,1 IC±0,1</w:t>
      </w:r>
    </w:p>
    <w:p w14:paraId="784D53F0" w14:textId="77777777" w:rsidR="0092721B" w:rsidRDefault="0092721B">
      <w:pPr>
        <w:pStyle w:val="a3"/>
        <w:spacing w:before="4"/>
        <w:ind w:left="0" w:firstLine="0"/>
        <w:jc w:val="left"/>
        <w:rPr>
          <w:sz w:val="23"/>
        </w:rPr>
      </w:pPr>
    </w:p>
    <w:p w14:paraId="499A1B2B" w14:textId="77777777" w:rsidR="0092721B" w:rsidRDefault="00D22738">
      <w:pPr>
        <w:pStyle w:val="a3"/>
        <w:tabs>
          <w:tab w:val="left" w:pos="5544"/>
          <w:tab w:val="left" w:pos="5828"/>
        </w:tabs>
        <w:spacing w:line="249" w:lineRule="auto"/>
        <w:ind w:right="124" w:firstLine="0"/>
        <w:rPr>
          <w:lang w:eastAsia="ja-JP"/>
        </w:rPr>
      </w:pPr>
      <w:r>
        <w:rPr>
          <w:w w:val="80"/>
          <w:lang w:eastAsia="ja-JP"/>
        </w:rPr>
        <w:t>欠点は、バイアスの影響を受けやすく、特にコストが大きくかかることです。一方で、選択と混乱が生じる場合には、研究を実施する唯一の方法であるため、それを軽減するために、ランダムな確率でサンプリングを実施し、診断と治療を受けた患者に番号を付け、サンプルを選択する（Manteolaら）、あるいは研究に含めるために自然な奇数番号の患者の下で実施する必要がある場合には、対照条件のサンプルと、今回は顕在的な緊急性のために、</w:t>
      </w:r>
      <w:r>
        <w:rPr>
          <w:spacing w:val="-7"/>
          <w:w w:val="90"/>
          <w:lang w:eastAsia="ja-JP"/>
        </w:rPr>
        <w:t>同じ方法で</w:t>
      </w:r>
      <w:r>
        <w:rPr>
          <w:spacing w:val="-8"/>
          <w:w w:val="90"/>
          <w:lang w:eastAsia="ja-JP"/>
        </w:rPr>
        <w:t>患者</w:t>
      </w:r>
      <w:r>
        <w:rPr>
          <w:spacing w:val="-7"/>
          <w:w w:val="90"/>
          <w:lang w:eastAsia="ja-JP"/>
        </w:rPr>
        <w:t>を選択した。</w:t>
      </w:r>
    </w:p>
    <w:p w14:paraId="38111990" w14:textId="77777777" w:rsidR="0092721B" w:rsidRDefault="0092721B">
      <w:pPr>
        <w:spacing w:line="249" w:lineRule="auto"/>
        <w:rPr>
          <w:lang w:eastAsia="ja-JP"/>
        </w:rPr>
        <w:sectPr w:rsidR="0092721B">
          <w:type w:val="continuous"/>
          <w:pgSz w:w="11910" w:h="16840"/>
          <w:pgMar w:top="760" w:right="440" w:bottom="280" w:left="720" w:header="814" w:footer="686" w:gutter="0"/>
          <w:cols w:space="720"/>
        </w:sectPr>
      </w:pPr>
    </w:p>
    <w:p w14:paraId="030E7418" w14:textId="77777777" w:rsidR="0092721B" w:rsidRDefault="0092721B">
      <w:pPr>
        <w:pStyle w:val="a3"/>
        <w:spacing w:before="6"/>
        <w:ind w:left="0" w:firstLine="0"/>
        <w:jc w:val="left"/>
        <w:rPr>
          <w:sz w:val="14"/>
          <w:lang w:eastAsia="ja-JP"/>
        </w:rPr>
      </w:pPr>
    </w:p>
    <w:p w14:paraId="5C887AD5" w14:textId="77777777" w:rsidR="0092721B" w:rsidRDefault="0092721B">
      <w:pPr>
        <w:rPr>
          <w:sz w:val="14"/>
          <w:lang w:eastAsia="ja-JP"/>
        </w:rPr>
        <w:sectPr w:rsidR="0092721B">
          <w:pgSz w:w="11910" w:h="16840"/>
          <w:pgMar w:top="1080" w:right="440" w:bottom="880" w:left="720" w:header="814" w:footer="686" w:gutter="0"/>
          <w:cols w:space="720"/>
        </w:sectPr>
      </w:pPr>
    </w:p>
    <w:p w14:paraId="7ADD2D79" w14:textId="77777777" w:rsidR="0092721B" w:rsidRDefault="0092721B">
      <w:pPr>
        <w:pStyle w:val="a3"/>
        <w:spacing w:before="6"/>
        <w:ind w:left="0" w:firstLine="0"/>
        <w:jc w:val="left"/>
        <w:rPr>
          <w:sz w:val="13"/>
          <w:lang w:eastAsia="ja-JP"/>
        </w:rPr>
      </w:pPr>
    </w:p>
    <w:p w14:paraId="1226619D" w14:textId="77777777" w:rsidR="0092721B" w:rsidRDefault="00D22738">
      <w:pPr>
        <w:pStyle w:val="a3"/>
        <w:ind w:left="129" w:right="-15" w:firstLine="0"/>
        <w:jc w:val="left"/>
        <w:rPr>
          <w:sz w:val="20"/>
        </w:rPr>
      </w:pPr>
      <w:r>
        <w:rPr>
          <w:noProof/>
          <w:sz w:val="20"/>
        </w:rPr>
        <w:drawing>
          <wp:inline distT="0" distB="0" distL="0" distR="0" wp14:anchorId="4924BA6D" wp14:editId="2110C962">
            <wp:extent cx="3220317" cy="181051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0" cstate="print"/>
                    <a:stretch>
                      <a:fillRect/>
                    </a:stretch>
                  </pic:blipFill>
                  <pic:spPr>
                    <a:xfrm>
                      <a:off x="0" y="0"/>
                      <a:ext cx="3220317" cy="1810512"/>
                    </a:xfrm>
                    <a:prstGeom prst="rect">
                      <a:avLst/>
                    </a:prstGeom>
                  </pic:spPr>
                </pic:pic>
              </a:graphicData>
            </a:graphic>
          </wp:inline>
        </w:drawing>
      </w:r>
    </w:p>
    <w:p w14:paraId="657B71D0" w14:textId="77777777" w:rsidR="0092721B" w:rsidRDefault="00D22738">
      <w:pPr>
        <w:spacing w:before="105"/>
        <w:ind w:left="701"/>
        <w:rPr>
          <w:sz w:val="16"/>
          <w:lang w:eastAsia="ja-JP"/>
        </w:rPr>
      </w:pPr>
      <w:r>
        <w:rPr>
          <w:b/>
          <w:w w:val="80"/>
          <w:sz w:val="16"/>
          <w:lang w:eastAsia="ja-JP"/>
        </w:rPr>
        <w:t>図8：</w:t>
      </w:r>
      <w:r>
        <w:rPr>
          <w:w w:val="80"/>
          <w:sz w:val="16"/>
          <w:lang w:eastAsia="ja-JP"/>
        </w:rPr>
        <w:t>メタヘモグロビン血症のある血液サンプルと</w:t>
      </w:r>
      <w:r>
        <w:rPr>
          <w:w w:val="80"/>
          <w:sz w:val="16"/>
          <w:vertAlign w:val="subscript"/>
          <w:lang w:eastAsia="ja-JP"/>
        </w:rPr>
        <w:t>ClO2</w:t>
      </w:r>
      <w:r>
        <w:rPr>
          <w:w w:val="80"/>
          <w:sz w:val="16"/>
          <w:lang w:eastAsia="ja-JP"/>
        </w:rPr>
        <w:t>のある血液サンプル。</w:t>
      </w:r>
    </w:p>
    <w:p w14:paraId="4BCA3817" w14:textId="77777777" w:rsidR="0092721B" w:rsidRDefault="00D22738">
      <w:pPr>
        <w:pStyle w:val="a3"/>
        <w:spacing w:before="5"/>
        <w:ind w:left="0" w:firstLine="0"/>
        <w:jc w:val="left"/>
        <w:rPr>
          <w:sz w:val="20"/>
          <w:lang w:eastAsia="ja-JP"/>
        </w:rPr>
      </w:pPr>
      <w:r>
        <w:rPr>
          <w:noProof/>
        </w:rPr>
        <w:drawing>
          <wp:anchor distT="0" distB="0" distL="0" distR="0" simplePos="0" relativeHeight="26" behindDoc="0" locked="0" layoutInCell="1" allowOverlap="1" wp14:anchorId="1C0A69A7" wp14:editId="5683F638">
            <wp:simplePos x="0" y="0"/>
            <wp:positionH relativeFrom="page">
              <wp:posOffset>532028</wp:posOffset>
            </wp:positionH>
            <wp:positionV relativeFrom="paragraph">
              <wp:posOffset>164818</wp:posOffset>
            </wp:positionV>
            <wp:extent cx="3234452" cy="158191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stretch>
                      <a:fillRect/>
                    </a:stretch>
                  </pic:blipFill>
                  <pic:spPr>
                    <a:xfrm>
                      <a:off x="0" y="0"/>
                      <a:ext cx="3234452" cy="1581912"/>
                    </a:xfrm>
                    <a:prstGeom prst="rect">
                      <a:avLst/>
                    </a:prstGeom>
                  </pic:spPr>
                </pic:pic>
              </a:graphicData>
            </a:graphic>
          </wp:anchor>
        </w:drawing>
      </w:r>
    </w:p>
    <w:p w14:paraId="27D6AA0A" w14:textId="77777777" w:rsidR="0092721B" w:rsidRDefault="00D22738">
      <w:pPr>
        <w:spacing w:before="169" w:line="249" w:lineRule="auto"/>
        <w:ind w:left="117" w:right="39"/>
        <w:jc w:val="both"/>
        <w:rPr>
          <w:sz w:val="16"/>
        </w:rPr>
      </w:pPr>
      <w:r>
        <w:rPr>
          <w:b/>
          <w:w w:val="85"/>
          <w:sz w:val="16"/>
          <w:lang w:eastAsia="ja-JP"/>
        </w:rPr>
        <w:t>図9：</w:t>
      </w:r>
      <w:r>
        <w:rPr>
          <w:w w:val="85"/>
          <w:sz w:val="16"/>
          <w:lang w:eastAsia="ja-JP"/>
        </w:rPr>
        <w:t>50ppmの二酸化クロリン静脈内注射の前と10分後の血清乳酸値の変化を示す。</w:t>
      </w:r>
      <w:r>
        <w:rPr>
          <w:w w:val="85"/>
          <w:sz w:val="16"/>
        </w:rPr>
        <w:t xml:space="preserve">(A. Kalcker. SCHWEIZER VEREIN FUR NATURWISSENS </w:t>
      </w:r>
      <w:r>
        <w:rPr>
          <w:w w:val="90"/>
          <w:sz w:val="16"/>
        </w:rPr>
        <w:t>CHAFTLICHE BIOPHYSIK).</w:t>
      </w:r>
    </w:p>
    <w:p w14:paraId="714619BF" w14:textId="77777777" w:rsidR="0092721B" w:rsidRDefault="00D22738">
      <w:pPr>
        <w:pStyle w:val="a3"/>
        <w:spacing w:before="6"/>
        <w:ind w:left="0" w:firstLine="0"/>
        <w:jc w:val="left"/>
        <w:rPr>
          <w:sz w:val="19"/>
        </w:rPr>
      </w:pPr>
      <w:r>
        <w:rPr>
          <w:noProof/>
        </w:rPr>
        <w:drawing>
          <wp:anchor distT="0" distB="0" distL="0" distR="0" simplePos="0" relativeHeight="27" behindDoc="0" locked="0" layoutInCell="1" allowOverlap="1" wp14:anchorId="1F89B848" wp14:editId="016F7841">
            <wp:simplePos x="0" y="0"/>
            <wp:positionH relativeFrom="page">
              <wp:posOffset>562195</wp:posOffset>
            </wp:positionH>
            <wp:positionV relativeFrom="paragraph">
              <wp:posOffset>158127</wp:posOffset>
            </wp:positionV>
            <wp:extent cx="3196804" cy="217017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2" cstate="print"/>
                    <a:stretch>
                      <a:fillRect/>
                    </a:stretch>
                  </pic:blipFill>
                  <pic:spPr>
                    <a:xfrm>
                      <a:off x="0" y="0"/>
                      <a:ext cx="3196804" cy="2170176"/>
                    </a:xfrm>
                    <a:prstGeom prst="rect">
                      <a:avLst/>
                    </a:prstGeom>
                  </pic:spPr>
                </pic:pic>
              </a:graphicData>
            </a:graphic>
          </wp:anchor>
        </w:drawing>
      </w:r>
    </w:p>
    <w:p w14:paraId="2956A59B" w14:textId="77777777" w:rsidR="0092721B" w:rsidRDefault="00D22738">
      <w:pPr>
        <w:spacing w:before="149"/>
        <w:ind w:left="348"/>
        <w:rPr>
          <w:sz w:val="16"/>
          <w:lang w:eastAsia="ja-JP"/>
        </w:rPr>
      </w:pPr>
      <w:r>
        <w:rPr>
          <w:b/>
          <w:w w:val="80"/>
          <w:sz w:val="16"/>
          <w:lang w:eastAsia="ja-JP"/>
        </w:rPr>
        <w:t>図10：</w:t>
      </w:r>
      <w:r>
        <w:rPr>
          <w:w w:val="80"/>
          <w:sz w:val="16"/>
          <w:lang w:eastAsia="ja-JP"/>
        </w:rPr>
        <w:t>生理食塩水を注入する前と1時間後の乳酸値の変化。</w:t>
      </w:r>
    </w:p>
    <w:p w14:paraId="7C1BF077" w14:textId="77777777" w:rsidR="0092721B" w:rsidRDefault="0092721B">
      <w:pPr>
        <w:pStyle w:val="a3"/>
        <w:spacing w:before="5"/>
        <w:ind w:left="0" w:firstLine="0"/>
        <w:jc w:val="left"/>
        <w:rPr>
          <w:lang w:eastAsia="ja-JP"/>
        </w:rPr>
      </w:pPr>
    </w:p>
    <w:p w14:paraId="56E4F82B" w14:textId="77777777" w:rsidR="0092721B" w:rsidRDefault="00D22738">
      <w:pPr>
        <w:pStyle w:val="a3"/>
        <w:spacing w:line="249" w:lineRule="auto"/>
        <w:ind w:left="117" w:right="38"/>
        <w:rPr>
          <w:lang w:eastAsia="ja-JP"/>
        </w:rPr>
      </w:pPr>
      <w:r>
        <w:rPr>
          <w:w w:val="80"/>
          <w:lang w:eastAsia="ja-JP"/>
        </w:rPr>
        <w:t>その一方で、結果の外的妥当性と適用性を損なわないように、</w:t>
      </w:r>
      <w:r>
        <w:rPr>
          <w:w w:val="85"/>
          <w:lang w:eastAsia="ja-JP"/>
        </w:rPr>
        <w:t>既存のグループを使用しないことを選択しました。</w:t>
      </w:r>
      <w:r>
        <w:rPr>
          <w:w w:val="80"/>
          <w:lang w:eastAsia="ja-JP"/>
        </w:rPr>
        <w:t>我々の研究に内在するもう一つの難点は、プラセボ効果やホーソン効果を呈するリスクです。パンデミックという人道的危機を考慮すると、被験者が自分に適用される介入について知らされずに研究に参加することは倫理的に問題があると考えたため、このリスクを最小限に抑えることはできませんでした（Molina and Ochoa, 2014）。実際、</w:t>
      </w:r>
      <w:r>
        <w:rPr>
          <w:w w:val="85"/>
          <w:lang w:eastAsia="ja-JP"/>
        </w:rPr>
        <w:t>二酸化塩素が</w:t>
      </w:r>
      <w:r>
        <w:rPr>
          <w:w w:val="90"/>
          <w:lang w:eastAsia="ja-JP"/>
        </w:rPr>
        <w:t>医薬品として分類される</w:t>
      </w:r>
      <w:r>
        <w:rPr>
          <w:w w:val="85"/>
          <w:lang w:eastAsia="ja-JP"/>
        </w:rPr>
        <w:t>ための対応プロセスをまだ満たしていないことから、特に調査中の医薬品や物質の使用について、</w:t>
      </w:r>
      <w:r>
        <w:rPr>
          <w:w w:val="80"/>
          <w:lang w:eastAsia="ja-JP"/>
        </w:rPr>
        <w:t>すべての参加者がインフォームド・コンセントに署名しました。</w:t>
      </w:r>
    </w:p>
    <w:p w14:paraId="29117C0A" w14:textId="77777777" w:rsidR="0092721B" w:rsidRDefault="00D22738">
      <w:pPr>
        <w:pStyle w:val="a3"/>
        <w:spacing w:before="121" w:line="249" w:lineRule="auto"/>
        <w:ind w:left="117" w:right="38"/>
        <w:rPr>
          <w:lang w:eastAsia="ja-JP"/>
        </w:rPr>
      </w:pPr>
      <w:r>
        <w:rPr>
          <w:w w:val="85"/>
          <w:lang w:eastAsia="ja-JP"/>
        </w:rPr>
        <w:t>結果とその説明については、</w:t>
      </w:r>
      <w:r>
        <w:rPr>
          <w:w w:val="80"/>
          <w:lang w:eastAsia="ja-JP"/>
        </w:rPr>
        <w:t>実験群で</w:t>
      </w:r>
      <w:r>
        <w:rPr>
          <w:w w:val="85"/>
          <w:lang w:eastAsia="ja-JP"/>
        </w:rPr>
        <w:t>最も</w:t>
      </w:r>
      <w:r>
        <w:rPr>
          <w:w w:val="80"/>
          <w:lang w:eastAsia="ja-JP"/>
        </w:rPr>
        <w:t>重要なことは、</w:t>
      </w:r>
      <w:r>
        <w:rPr>
          <w:w w:val="85"/>
          <w:lang w:eastAsia="ja-JP"/>
        </w:rPr>
        <w:t>7日後に100％の症例で</w:t>
      </w:r>
      <w:r>
        <w:rPr>
          <w:w w:val="80"/>
          <w:lang w:eastAsia="ja-JP"/>
        </w:rPr>
        <w:t>RT-PCRが陰性化したこと</w:t>
      </w:r>
      <w:r>
        <w:rPr>
          <w:w w:val="85"/>
          <w:lang w:eastAsia="ja-JP"/>
        </w:rPr>
        <w:t>、およびその結果が急速に減少したこと</w:t>
      </w:r>
      <w:r>
        <w:rPr>
          <w:w w:val="80"/>
          <w:lang w:eastAsia="ja-JP"/>
        </w:rPr>
        <w:t xml:space="preserve">である。 </w:t>
      </w:r>
      <w:r>
        <w:rPr>
          <w:w w:val="85"/>
          <w:lang w:eastAsia="ja-JP"/>
        </w:rPr>
        <w:t>患者の一般的な症状、特に</w:t>
      </w:r>
      <w:r>
        <w:rPr>
          <w:w w:val="80"/>
          <w:lang w:eastAsia="ja-JP"/>
        </w:rPr>
        <w:t>発熱、咳、呼吸困難、無力感、全身の痛み</w:t>
      </w:r>
      <w:r>
        <w:rPr>
          <w:w w:val="85"/>
          <w:lang w:eastAsia="ja-JP"/>
        </w:rPr>
        <w:t>については</w:t>
      </w:r>
      <w:r>
        <w:rPr>
          <w:w w:val="80"/>
          <w:lang w:eastAsia="ja-JP"/>
        </w:rPr>
        <w:t>、治療後7日目に70％の症例で達成され、VAS値が非常に顕著に減少した</w:t>
      </w:r>
      <w:r>
        <w:rPr>
          <w:w w:val="85"/>
          <w:lang w:eastAsia="ja-JP"/>
        </w:rPr>
        <w:t>。</w:t>
      </w:r>
    </w:p>
    <w:p w14:paraId="1ED04D1F" w14:textId="77777777" w:rsidR="0092721B" w:rsidRDefault="00D22738">
      <w:pPr>
        <w:pStyle w:val="a3"/>
        <w:spacing w:before="104" w:line="249" w:lineRule="auto"/>
        <w:ind w:left="117" w:right="124" w:firstLine="0"/>
        <w:rPr>
          <w:lang w:eastAsia="ja-JP"/>
        </w:rPr>
      </w:pPr>
      <w:r>
        <w:rPr>
          <w:lang w:eastAsia="ja-JP"/>
        </w:rPr>
        <w:br w:type="column"/>
      </w:r>
      <w:r>
        <w:rPr>
          <w:w w:val="80"/>
          <w:lang w:eastAsia="ja-JP"/>
        </w:rPr>
        <w:t>特に喉の痛みは100％、腰の痛みは</w:t>
      </w:r>
      <w:r>
        <w:rPr>
          <w:w w:val="85"/>
          <w:lang w:eastAsia="ja-JP"/>
        </w:rPr>
        <w:t>80％近く軽減され、</w:t>
      </w:r>
      <w:r>
        <w:rPr>
          <w:w w:val="90"/>
          <w:lang w:eastAsia="ja-JP"/>
        </w:rPr>
        <w:t>患者の病状が</w:t>
      </w:r>
      <w:r>
        <w:rPr>
          <w:w w:val="85"/>
          <w:lang w:eastAsia="ja-JP"/>
        </w:rPr>
        <w:t>大幅に</w:t>
      </w:r>
      <w:r>
        <w:rPr>
          <w:w w:val="90"/>
          <w:lang w:eastAsia="ja-JP"/>
        </w:rPr>
        <w:t>改善されたことがわかります。</w:t>
      </w:r>
    </w:p>
    <w:p w14:paraId="382B6EA9" w14:textId="77777777" w:rsidR="0092721B" w:rsidRDefault="00D22738">
      <w:pPr>
        <w:pStyle w:val="a3"/>
        <w:spacing w:before="119" w:line="254" w:lineRule="auto"/>
        <w:ind w:left="117" w:right="124"/>
        <w:rPr>
          <w:lang w:eastAsia="ja-JP"/>
        </w:rPr>
      </w:pPr>
      <w:r>
        <w:rPr>
          <w:w w:val="85"/>
          <w:lang w:eastAsia="ja-JP"/>
        </w:rPr>
        <w:t>二酸化塩素を投与した初期段階では、患者の発熱症状に改善が見られますが、これは</w:t>
      </w:r>
      <w:r>
        <w:rPr>
          <w:w w:val="80"/>
          <w:lang w:eastAsia="ja-JP"/>
        </w:rPr>
        <w:t>上で説明したメカニズムにより、スパイクとウイルスRNAに作用することによる</w:t>
      </w:r>
      <w:r>
        <w:rPr>
          <w:w w:val="85"/>
          <w:lang w:eastAsia="ja-JP"/>
        </w:rPr>
        <w:t>直接的な</w:t>
      </w:r>
      <w:r>
        <w:rPr>
          <w:w w:val="80"/>
          <w:lang w:eastAsia="ja-JP"/>
        </w:rPr>
        <w:t>殺ウイルス効果によるもの</w:t>
      </w:r>
      <w:r>
        <w:rPr>
          <w:w w:val="85"/>
          <w:lang w:eastAsia="ja-JP"/>
        </w:rPr>
        <w:t>と考えられます。ウイルス</w:t>
      </w:r>
      <w:r>
        <w:rPr>
          <w:w w:val="80"/>
          <w:lang w:eastAsia="ja-JP"/>
        </w:rPr>
        <w:t>RNAのアミノ酸やグアニンを酸化させる。さらに、患者は喉の痛み、乾いた咳</w:t>
      </w:r>
      <w:r>
        <w:rPr>
          <w:w w:val="85"/>
          <w:lang w:eastAsia="ja-JP"/>
        </w:rPr>
        <w:t>、呼吸困難など</w:t>
      </w:r>
      <w:r>
        <w:rPr>
          <w:w w:val="80"/>
          <w:lang w:eastAsia="ja-JP"/>
        </w:rPr>
        <w:t>を改善し始める。</w:t>
      </w:r>
      <w:r>
        <w:rPr>
          <w:w w:val="85"/>
          <w:lang w:eastAsia="ja-JP"/>
        </w:rPr>
        <w:t>この効果は、直接的な抗炎症</w:t>
      </w:r>
      <w:r>
        <w:rPr>
          <w:w w:val="80"/>
          <w:lang w:eastAsia="ja-JP"/>
        </w:rPr>
        <w:t>作用に</w:t>
      </w:r>
      <w:r>
        <w:rPr>
          <w:w w:val="85"/>
          <w:lang w:eastAsia="ja-JP"/>
        </w:rPr>
        <w:t>起因する可能性があります。</w:t>
      </w:r>
      <w:r>
        <w:rPr>
          <w:w w:val="80"/>
          <w:lang w:eastAsia="ja-JP"/>
        </w:rPr>
        <w:t>また、</w:t>
      </w:r>
      <w:r>
        <w:rPr>
          <w:w w:val="85"/>
          <w:lang w:eastAsia="ja-JP"/>
        </w:rPr>
        <w:t>まだ明確に解明されていないメカニズムにより、NETosisプロセスに作用する可能性もあると考えられており、現在、詳細な調査を進めているところです。</w:t>
      </w:r>
    </w:p>
    <w:p w14:paraId="75411F69" w14:textId="77777777" w:rsidR="0092721B" w:rsidRDefault="00D22738">
      <w:pPr>
        <w:pStyle w:val="a3"/>
        <w:spacing w:before="119" w:line="254" w:lineRule="auto"/>
        <w:ind w:left="117" w:right="124"/>
        <w:rPr>
          <w:lang w:eastAsia="ja-JP"/>
        </w:rPr>
      </w:pPr>
      <w:r>
        <w:rPr>
          <w:color w:val="0D0D0D"/>
          <w:w w:val="85"/>
          <w:lang w:eastAsia="ja-JP"/>
        </w:rPr>
        <w:t>この調査のパラメータには、パルスオキシメトリによる酸素飽和度の測定は含まれていませんでしたが、</w:t>
      </w:r>
      <w:r>
        <w:rPr>
          <w:color w:val="0D0D0D"/>
          <w:w w:val="80"/>
          <w:lang w:eastAsia="ja-JP"/>
        </w:rPr>
        <w:t>すべての患者で</w:t>
      </w:r>
      <w:r>
        <w:rPr>
          <w:color w:val="0D0D0D"/>
          <w:w w:val="85"/>
          <w:lang w:eastAsia="ja-JP"/>
        </w:rPr>
        <w:t>測定を行い</w:t>
      </w:r>
      <w:r>
        <w:rPr>
          <w:color w:val="0D0D0D"/>
          <w:w w:val="80"/>
          <w:lang w:eastAsia="ja-JP"/>
        </w:rPr>
        <w:t>、いくつかのケースで酸素飽和度のかなりの改善が観察されました。一貫した観察結果として、この改善は、ヘモグロビンのユニット</w:t>
      </w:r>
      <w:r>
        <w:rPr>
          <w:rFonts w:ascii="Courier New" w:hAnsi="Courier New"/>
          <w:color w:val="0D0D0D"/>
          <w:w w:val="80"/>
        </w:rPr>
        <w:t>β</w:t>
      </w:r>
      <w:r>
        <w:rPr>
          <w:color w:val="0D0D0D"/>
          <w:w w:val="80"/>
          <w:lang w:eastAsia="ja-JP"/>
        </w:rPr>
        <w:t>1に「固定」されたウイルスのアミノ酸の酸化メカニズムを介した二酸化物の作用により、酸素化が改善されたと説明できます。このメカニズムは、日本で行ったインシリコシミュレーションによる分子生物学の研究で可能性があることを検証しており、今後の論文のテーマにしたいと考えています。同じように、Pichert（2019）の研究では、亜</w:t>
      </w:r>
      <w:r>
        <w:rPr>
          <w:color w:val="0D0D0D"/>
          <w:w w:val="85"/>
          <w:lang w:eastAsia="ja-JP"/>
        </w:rPr>
        <w:t>塩素酸塩がヘモグロビンや酸化型ヘモグロビンの形と相互作用することが示唆されています。亜塩素酸塩は、鉄ヘモグロビンとメトヘモグロビンを不活性化する。これらのメカニズムにより、亜塩素酸塩は、</w:t>
      </w:r>
      <w:r>
        <w:rPr>
          <w:color w:val="0D0D0D"/>
          <w:w w:val="90"/>
          <w:lang w:eastAsia="ja-JP"/>
        </w:rPr>
        <w:t>病的な状況で赤血球</w:t>
      </w:r>
      <w:r>
        <w:rPr>
          <w:color w:val="0D0D0D"/>
          <w:w w:val="80"/>
          <w:lang w:eastAsia="ja-JP"/>
        </w:rPr>
        <w:t>の過剰な溶血の後に現れる可能性のある</w:t>
      </w:r>
      <w:r>
        <w:rPr>
          <w:color w:val="0D0D0D"/>
          <w:w w:val="85"/>
          <w:lang w:eastAsia="ja-JP"/>
        </w:rPr>
        <w:t>細胞毒性のある</w:t>
      </w:r>
      <w:r>
        <w:rPr>
          <w:color w:val="0D0D0D"/>
          <w:w w:val="80"/>
          <w:lang w:eastAsia="ja-JP"/>
        </w:rPr>
        <w:t>ヘモグロビン種</w:t>
      </w:r>
      <w:r>
        <w:rPr>
          <w:color w:val="0D0D0D"/>
          <w:w w:val="85"/>
          <w:lang w:eastAsia="ja-JP"/>
        </w:rPr>
        <w:t>の収量を効果的に減少させます。</w:t>
      </w:r>
    </w:p>
    <w:p w14:paraId="5E5EED10" w14:textId="77777777" w:rsidR="0092721B" w:rsidRDefault="00D22738">
      <w:pPr>
        <w:pStyle w:val="a3"/>
        <w:spacing w:before="106" w:line="254" w:lineRule="auto"/>
        <w:ind w:left="117" w:right="124"/>
        <w:rPr>
          <w:lang w:eastAsia="ja-JP"/>
        </w:rPr>
      </w:pPr>
      <w:r>
        <w:rPr>
          <w:w w:val="80"/>
          <w:lang w:eastAsia="ja-JP"/>
        </w:rPr>
        <w:t>同様に、</w:t>
      </w:r>
      <w:r>
        <w:rPr>
          <w:w w:val="85"/>
          <w:lang w:eastAsia="ja-JP"/>
        </w:rPr>
        <w:t>スイスの</w:t>
      </w:r>
      <w:r>
        <w:rPr>
          <w:w w:val="80"/>
          <w:lang w:eastAsia="ja-JP"/>
        </w:rPr>
        <w:t xml:space="preserve">Lichtensteiner Verein für Wissenschaft </w:t>
      </w:r>
      <w:r>
        <w:rPr>
          <w:w w:val="85"/>
          <w:lang w:eastAsia="ja-JP"/>
        </w:rPr>
        <w:t>und Gesundheit</w:t>
      </w:r>
      <w:r>
        <w:rPr>
          <w:w w:val="80"/>
          <w:lang w:eastAsia="ja-JP"/>
        </w:rPr>
        <w:t>の研究室で</w:t>
      </w:r>
      <w:r>
        <w:rPr>
          <w:w w:val="85"/>
          <w:lang w:eastAsia="ja-JP"/>
        </w:rPr>
        <w:t>は、</w:t>
      </w:r>
      <w:r>
        <w:rPr>
          <w:w w:val="80"/>
          <w:lang w:eastAsia="ja-JP"/>
        </w:rPr>
        <w:t>メトヘモグロビン血症の赤血球サンプルに50ppmの濃度の二酸化塩素を注入し、造影</w:t>
      </w:r>
      <w:r>
        <w:rPr>
          <w:w w:val="85"/>
          <w:lang w:eastAsia="ja-JP"/>
        </w:rPr>
        <w:t>顕微鏡で</w:t>
      </w:r>
      <w:r>
        <w:rPr>
          <w:w w:val="80"/>
          <w:lang w:eastAsia="ja-JP"/>
        </w:rPr>
        <w:t>赤血球の</w:t>
      </w:r>
      <w:r>
        <w:rPr>
          <w:w w:val="85"/>
          <w:lang w:eastAsia="ja-JP"/>
        </w:rPr>
        <w:t>即時</w:t>
      </w:r>
      <w:r>
        <w:rPr>
          <w:w w:val="80"/>
          <w:lang w:eastAsia="ja-JP"/>
        </w:rPr>
        <w:t>酸素化</w:t>
      </w:r>
      <w:r>
        <w:rPr>
          <w:w w:val="85"/>
          <w:lang w:eastAsia="ja-JP"/>
        </w:rPr>
        <w:t>を確認することができました。フェーズとダイレクト（図8）。</w:t>
      </w:r>
    </w:p>
    <w:p w14:paraId="7AB96AA2" w14:textId="77777777" w:rsidR="0092721B" w:rsidRDefault="00D22738">
      <w:pPr>
        <w:pStyle w:val="a3"/>
        <w:spacing w:before="116" w:line="254" w:lineRule="auto"/>
        <w:ind w:left="117" w:right="125"/>
        <w:rPr>
          <w:lang w:eastAsia="ja-JP"/>
        </w:rPr>
      </w:pPr>
      <w:r>
        <w:rPr>
          <w:w w:val="80"/>
          <w:lang w:eastAsia="ja-JP"/>
        </w:rPr>
        <w:t>21日間の治療における血小板減少の挙動を観察すると、</w:t>
      </w:r>
      <w:r>
        <w:rPr>
          <w:spacing w:val="-1"/>
          <w:w w:val="85"/>
          <w:lang w:eastAsia="ja-JP"/>
        </w:rPr>
        <w:t>二酸化ケイ素が</w:t>
      </w:r>
      <w:r>
        <w:rPr>
          <w:w w:val="85"/>
          <w:lang w:eastAsia="ja-JP"/>
        </w:rPr>
        <w:t>血液の</w:t>
      </w:r>
      <w:r>
        <w:rPr>
          <w:spacing w:val="-1"/>
          <w:w w:val="85"/>
          <w:lang w:eastAsia="ja-JP"/>
        </w:rPr>
        <w:t>レオロジー的</w:t>
      </w:r>
      <w:r>
        <w:rPr>
          <w:w w:val="85"/>
          <w:lang w:eastAsia="ja-JP"/>
        </w:rPr>
        <w:t>挙動</w:t>
      </w:r>
      <w:r>
        <w:rPr>
          <w:spacing w:val="-1"/>
          <w:w w:val="85"/>
          <w:lang w:eastAsia="ja-JP"/>
        </w:rPr>
        <w:t>に</w:t>
      </w:r>
      <w:r>
        <w:rPr>
          <w:w w:val="80"/>
          <w:lang w:eastAsia="ja-JP"/>
        </w:rPr>
        <w:t>作用している可能性があるという興味深い特徴があり、</w:t>
      </w:r>
      <w:r>
        <w:rPr>
          <w:w w:val="85"/>
          <w:lang w:eastAsia="ja-JP"/>
        </w:rPr>
        <w:t>この考えは</w:t>
      </w:r>
      <w:r>
        <w:rPr>
          <w:w w:val="80"/>
          <w:lang w:eastAsia="ja-JP"/>
        </w:rPr>
        <w:t>、二酸化ケイ素を投与した患者におけるDダイマーの明らかな減少によって</w:t>
      </w:r>
      <w:r>
        <w:rPr>
          <w:w w:val="85"/>
          <w:lang w:eastAsia="ja-JP"/>
        </w:rPr>
        <w:t>補強される。</w:t>
      </w:r>
    </w:p>
    <w:p w14:paraId="363CB14D" w14:textId="77777777" w:rsidR="0092721B" w:rsidRDefault="00D22738">
      <w:pPr>
        <w:pStyle w:val="a3"/>
        <w:spacing w:before="115" w:line="254" w:lineRule="auto"/>
        <w:ind w:left="117" w:right="124"/>
        <w:rPr>
          <w:lang w:eastAsia="ja-JP"/>
        </w:rPr>
      </w:pPr>
      <w:r>
        <w:rPr>
          <w:w w:val="85"/>
          <w:lang w:eastAsia="ja-JP"/>
        </w:rPr>
        <w:t>ほとんどの患者に見られるリンパ球減少症は、</w:t>
      </w:r>
      <w:r>
        <w:rPr>
          <w:w w:val="80"/>
          <w:lang w:eastAsia="ja-JP"/>
        </w:rPr>
        <w:t>細胞骨格の乱れに始まり、クロマチンと細胞質の凝縮、ミトコンドリア機能の喪失、DNAの断片化、そして最終的</w:t>
      </w:r>
      <w:r>
        <w:rPr>
          <w:w w:val="85"/>
          <w:lang w:eastAsia="ja-JP"/>
        </w:rPr>
        <w:t>にマクロファージによって排除される破れた膜やアポトーシス小体の形成というプロセスに起因すると考えられます。この現象は、</w:t>
      </w:r>
      <w:r>
        <w:rPr>
          <w:spacing w:val="-1"/>
          <w:w w:val="85"/>
          <w:lang w:eastAsia="ja-JP"/>
        </w:rPr>
        <w:t>カスパーゼ-8複合体</w:t>
      </w:r>
      <w:r>
        <w:rPr>
          <w:w w:val="85"/>
          <w:lang w:eastAsia="ja-JP"/>
        </w:rPr>
        <w:t>の合成を介している</w:t>
      </w:r>
      <w:r>
        <w:rPr>
          <w:spacing w:val="-1"/>
          <w:w w:val="85"/>
          <w:lang w:eastAsia="ja-JP"/>
        </w:rPr>
        <w:t>が、この複合体は</w:t>
      </w:r>
      <w:r>
        <w:rPr>
          <w:w w:val="85"/>
          <w:lang w:eastAsia="ja-JP"/>
        </w:rPr>
        <w:t>非正規の方法で活性化される可能性がある</w:t>
      </w:r>
      <w:r>
        <w:rPr>
          <w:spacing w:val="-1"/>
          <w:w w:val="85"/>
          <w:lang w:eastAsia="ja-JP"/>
        </w:rPr>
        <w:t>と考えられる。この複合</w:t>
      </w:r>
      <w:r>
        <w:rPr>
          <w:w w:val="85"/>
          <w:lang w:eastAsia="ja-JP"/>
        </w:rPr>
        <w:t>体はプロテインキナーゼRによって促進され、ウイルスの存在下で生成されたインターフェロンによっても促進される。これらの受容体によって</w:t>
      </w:r>
      <w:r>
        <w:rPr>
          <w:spacing w:val="-1"/>
          <w:w w:val="85"/>
          <w:lang w:eastAsia="ja-JP"/>
        </w:rPr>
        <w:t>活性化された</w:t>
      </w:r>
      <w:r>
        <w:rPr>
          <w:w w:val="85"/>
          <w:lang w:eastAsia="ja-JP"/>
        </w:rPr>
        <w:t>シグナル伝達経路は、</w:t>
      </w:r>
      <w:r>
        <w:rPr>
          <w:w w:val="90"/>
          <w:lang w:eastAsia="ja-JP"/>
        </w:rPr>
        <w:t>抗ウイルス効果</w:t>
      </w:r>
      <w:r>
        <w:rPr>
          <w:w w:val="85"/>
          <w:lang w:eastAsia="ja-JP"/>
        </w:rPr>
        <w:t>を伴う炎症反応を開始する。</w:t>
      </w:r>
    </w:p>
    <w:p w14:paraId="516AB8E7" w14:textId="77777777" w:rsidR="0092721B" w:rsidRDefault="00D22738">
      <w:pPr>
        <w:pStyle w:val="a3"/>
        <w:spacing w:before="119" w:line="254" w:lineRule="auto"/>
        <w:ind w:left="117" w:right="124"/>
        <w:rPr>
          <w:lang w:eastAsia="ja-JP"/>
        </w:rPr>
      </w:pPr>
      <w:r>
        <w:rPr>
          <w:w w:val="85"/>
          <w:lang w:eastAsia="ja-JP"/>
        </w:rPr>
        <w:t>また、ウイルスは</w:t>
      </w:r>
      <w:r>
        <w:rPr>
          <w:w w:val="80"/>
          <w:lang w:eastAsia="ja-JP"/>
        </w:rPr>
        <w:t>ノイラミニダーゼ</w:t>
      </w:r>
      <w:r>
        <w:rPr>
          <w:w w:val="85"/>
          <w:lang w:eastAsia="ja-JP"/>
        </w:rPr>
        <w:t>を介してトランスフォーミング成長因子bを活性化し</w:t>
      </w:r>
      <w:r>
        <w:rPr>
          <w:w w:val="80"/>
          <w:lang w:eastAsia="ja-JP"/>
        </w:rPr>
        <w:t>、c-Jun-N-キナーゼで終わる別のカスケードを生成して、転写を誘発し、続いてプロアポトーシス遺伝子を発現させる。このウイルスは、リンパ球を破壊する病原</w:t>
      </w:r>
      <w:r>
        <w:rPr>
          <w:w w:val="85"/>
          <w:lang w:eastAsia="ja-JP"/>
        </w:rPr>
        <w:t>性ペプチドPB1-F2を合成する可能性があり、COVID19で観察されたリンパ球減少症</w:t>
      </w:r>
      <w:r>
        <w:rPr>
          <w:w w:val="80"/>
          <w:lang w:eastAsia="ja-JP"/>
        </w:rPr>
        <w:t>を説明することができる。</w:t>
      </w:r>
      <w:r>
        <w:rPr>
          <w:w w:val="85"/>
          <w:lang w:eastAsia="ja-JP"/>
        </w:rPr>
        <w:t>この作用は、</w:t>
      </w:r>
      <w:r>
        <w:rPr>
          <w:w w:val="80"/>
          <w:lang w:eastAsia="ja-JP"/>
        </w:rPr>
        <w:t>二酸化塩素によって誘発される可能性のあるNLRP3の脱ユビキチン化をATPによるシグナル伝達（酸化還元）が誘導するような、インフラマソームへの作用</w:t>
      </w:r>
      <w:r>
        <w:rPr>
          <w:w w:val="85"/>
          <w:lang w:eastAsia="ja-JP"/>
        </w:rPr>
        <w:t>によっても媒介される可能性がある。</w:t>
      </w:r>
    </w:p>
    <w:p w14:paraId="06445F45" w14:textId="77777777" w:rsidR="0092721B" w:rsidRDefault="00D22738">
      <w:pPr>
        <w:pStyle w:val="a3"/>
        <w:spacing w:before="118" w:line="254" w:lineRule="auto"/>
        <w:ind w:left="117" w:right="122"/>
        <w:rPr>
          <w:lang w:eastAsia="ja-JP"/>
        </w:rPr>
      </w:pPr>
      <w:r>
        <w:rPr>
          <w:w w:val="85"/>
          <w:lang w:eastAsia="ja-JP"/>
        </w:rPr>
        <w:t>乳酸値の上昇については、敗血症患者で実証されているように、ピルビン酸脱水素酵素（PDH）の機能障害、ミトコンドリアの機能障害、あるいは</w:t>
      </w:r>
      <w:r>
        <w:rPr>
          <w:w w:val="80"/>
          <w:lang w:eastAsia="ja-JP"/>
        </w:rPr>
        <w:t>高乳酸血症が原因であることが</w:t>
      </w:r>
      <w:r>
        <w:rPr>
          <w:w w:val="85"/>
          <w:lang w:eastAsia="ja-JP"/>
        </w:rPr>
        <w:t>明らかになっている。</w:t>
      </w:r>
      <w:r>
        <w:rPr>
          <w:w w:val="80"/>
          <w:lang w:eastAsia="ja-JP"/>
        </w:rPr>
        <w:t>観察された改善効果は、二酸化塩素が酸素を放出することで直接的に細胞を酸素化するメカニズム、あるいは酵素の</w:t>
      </w:r>
      <w:r>
        <w:rPr>
          <w:w w:val="85"/>
          <w:lang w:eastAsia="ja-JP"/>
        </w:rPr>
        <w:t>活性化/阻害</w:t>
      </w:r>
      <w:r>
        <w:rPr>
          <w:w w:val="80"/>
          <w:lang w:eastAsia="ja-JP"/>
        </w:rPr>
        <w:t>を伴う酸化還元シグナル伝達メカニズムによって</w:t>
      </w:r>
      <w:r>
        <w:rPr>
          <w:w w:val="85"/>
          <w:lang w:eastAsia="ja-JP"/>
        </w:rPr>
        <w:t>、効率的なATP</w:t>
      </w:r>
      <w:r>
        <w:rPr>
          <w:w w:val="90"/>
          <w:lang w:eastAsia="ja-JP"/>
        </w:rPr>
        <w:t>生産</w:t>
      </w:r>
      <w:r>
        <w:rPr>
          <w:w w:val="85"/>
          <w:lang w:eastAsia="ja-JP"/>
        </w:rPr>
        <w:t>を伴うピルビン酸経路を活性化するメカニズム</w:t>
      </w:r>
      <w:r>
        <w:rPr>
          <w:w w:val="80"/>
          <w:lang w:eastAsia="ja-JP"/>
        </w:rPr>
        <w:t>によって説明できる。</w:t>
      </w:r>
    </w:p>
    <w:p w14:paraId="08079C62" w14:textId="77777777" w:rsidR="0092721B" w:rsidRDefault="0092721B">
      <w:pPr>
        <w:spacing w:line="254" w:lineRule="auto"/>
        <w:rPr>
          <w:lang w:eastAsia="ja-JP"/>
        </w:rPr>
        <w:sectPr w:rsidR="0092721B">
          <w:type w:val="continuous"/>
          <w:pgSz w:w="11910" w:h="16840"/>
          <w:pgMar w:top="760" w:right="440" w:bottom="280" w:left="720" w:header="814" w:footer="686" w:gutter="0"/>
          <w:cols w:num="2" w:space="720" w:equalWidth="0">
            <w:col w:w="5232" w:space="195"/>
            <w:col w:w="5323"/>
          </w:cols>
        </w:sectPr>
      </w:pPr>
    </w:p>
    <w:p w14:paraId="27070590" w14:textId="77777777" w:rsidR="0092721B" w:rsidRDefault="0092721B">
      <w:pPr>
        <w:pStyle w:val="a3"/>
        <w:spacing w:before="2"/>
        <w:ind w:left="0" w:firstLine="0"/>
        <w:jc w:val="left"/>
        <w:rPr>
          <w:sz w:val="16"/>
          <w:lang w:eastAsia="ja-JP"/>
        </w:rPr>
      </w:pPr>
    </w:p>
    <w:p w14:paraId="536D345C" w14:textId="77777777" w:rsidR="0092721B" w:rsidRDefault="0092721B">
      <w:pPr>
        <w:rPr>
          <w:sz w:val="16"/>
          <w:lang w:eastAsia="ja-JP"/>
        </w:rPr>
        <w:sectPr w:rsidR="0092721B">
          <w:pgSz w:w="11910" w:h="16840"/>
          <w:pgMar w:top="1080" w:right="440" w:bottom="880" w:left="720" w:header="814" w:footer="686" w:gutter="0"/>
          <w:cols w:space="720"/>
        </w:sectPr>
      </w:pPr>
    </w:p>
    <w:p w14:paraId="1F7E9F77" w14:textId="77777777" w:rsidR="0092721B" w:rsidRDefault="00D22738">
      <w:pPr>
        <w:pStyle w:val="a3"/>
        <w:spacing w:before="104" w:line="244" w:lineRule="auto"/>
        <w:ind w:right="38"/>
        <w:rPr>
          <w:lang w:eastAsia="ja-JP"/>
        </w:rPr>
      </w:pPr>
      <w:r>
        <w:rPr>
          <w:w w:val="80"/>
          <w:lang w:eastAsia="ja-JP"/>
        </w:rPr>
        <w:t>二酸化塩素を静脈内に直接注入すると、血液中の乳酸が減少します。次のグラフは、50ppmの二酸化塩素を静脈内に注入したときの、注入10分後の血液中の乳酸濃度を比較したものです（図9）。</w:t>
      </w:r>
    </w:p>
    <w:p w14:paraId="57B85D3D" w14:textId="77777777" w:rsidR="0092721B" w:rsidRDefault="00D22738">
      <w:pPr>
        <w:pStyle w:val="a3"/>
        <w:spacing w:before="117" w:line="244" w:lineRule="auto"/>
        <w:ind w:right="38"/>
        <w:rPr>
          <w:lang w:eastAsia="ja-JP"/>
        </w:rPr>
      </w:pPr>
      <w:r>
        <w:rPr>
          <w:w w:val="85"/>
          <w:lang w:eastAsia="ja-JP"/>
        </w:rPr>
        <w:t>これに対し、生理食塩水を直接静脈内に投与して乳酸値を測定すると、</w:t>
      </w:r>
      <w:r>
        <w:rPr>
          <w:w w:val="90"/>
          <w:lang w:eastAsia="ja-JP"/>
        </w:rPr>
        <w:t>乳酸値の変動がないことがわかります（図10）。</w:t>
      </w:r>
    </w:p>
    <w:p w14:paraId="56DDD22A" w14:textId="77777777" w:rsidR="0092721B" w:rsidRDefault="00D22738">
      <w:pPr>
        <w:pStyle w:val="a3"/>
        <w:spacing w:before="116" w:line="244" w:lineRule="auto"/>
        <w:ind w:right="38"/>
        <w:rPr>
          <w:lang w:eastAsia="ja-JP"/>
        </w:rPr>
      </w:pPr>
      <w:r>
        <w:rPr>
          <w:w w:val="80"/>
          <w:lang w:eastAsia="ja-JP"/>
        </w:rPr>
        <w:t>本研究で得られたデータは、</w:t>
      </w:r>
      <w:r>
        <w:rPr>
          <w:w w:val="85"/>
          <w:lang w:eastAsia="ja-JP"/>
        </w:rPr>
        <w:t>COVID19における二酸化塩素の有効性</w:t>
      </w:r>
      <w:r>
        <w:rPr>
          <w:w w:val="80"/>
          <w:lang w:eastAsia="ja-JP"/>
        </w:rPr>
        <w:t>を検証するものです。</w:t>
      </w:r>
      <w:r>
        <w:rPr>
          <w:w w:val="85"/>
          <w:lang w:eastAsia="ja-JP"/>
        </w:rPr>
        <w:t>これは、世界で初めての第IIa相臨床試験です。この研究では、結論の出ない結果はありませんでした。第IIa相試験のデザインは、二酸化塩素のような新しい分子を医薬品として開発する際の研究段階に適しています。</w:t>
      </w:r>
    </w:p>
    <w:p w14:paraId="16D46968" w14:textId="77777777" w:rsidR="0092721B" w:rsidRDefault="00D22738">
      <w:pPr>
        <w:pStyle w:val="a3"/>
        <w:spacing w:before="118" w:line="244" w:lineRule="auto"/>
        <w:ind w:right="38"/>
        <w:rPr>
          <w:lang w:eastAsia="ja-JP"/>
        </w:rPr>
      </w:pPr>
      <w:r>
        <w:rPr>
          <w:w w:val="85"/>
          <w:lang w:eastAsia="ja-JP"/>
        </w:rPr>
        <w:t>二酸化塩素とその治療の</w:t>
      </w:r>
      <w:r>
        <w:rPr>
          <w:w w:val="80"/>
          <w:lang w:eastAsia="ja-JP"/>
        </w:rPr>
        <w:t>可能性については、まだまだ</w:t>
      </w:r>
      <w:r>
        <w:rPr>
          <w:w w:val="85"/>
          <w:lang w:eastAsia="ja-JP"/>
        </w:rPr>
        <w:t>探求すべきことがたくさんあり</w:t>
      </w:r>
      <w:r>
        <w:rPr>
          <w:w w:val="80"/>
          <w:lang w:eastAsia="ja-JP"/>
        </w:rPr>
        <w:t>、</w:t>
      </w:r>
      <w:r>
        <w:rPr>
          <w:w w:val="90"/>
          <w:lang w:eastAsia="ja-JP"/>
        </w:rPr>
        <w:t>今後</w:t>
      </w:r>
      <w:r>
        <w:rPr>
          <w:w w:val="80"/>
          <w:lang w:eastAsia="ja-JP"/>
        </w:rPr>
        <w:t>も</w:t>
      </w:r>
      <w:r>
        <w:rPr>
          <w:w w:val="90"/>
          <w:lang w:eastAsia="ja-JP"/>
        </w:rPr>
        <w:t>研究を</w:t>
      </w:r>
      <w:r>
        <w:rPr>
          <w:w w:val="80"/>
          <w:lang w:eastAsia="ja-JP"/>
        </w:rPr>
        <w:t>続けていくのに十分な合理的な情報が得られています。</w:t>
      </w:r>
    </w:p>
    <w:p w14:paraId="6DDC6D95" w14:textId="77777777" w:rsidR="0092721B" w:rsidRDefault="00D22738">
      <w:pPr>
        <w:pStyle w:val="a3"/>
        <w:spacing w:before="116" w:line="244" w:lineRule="auto"/>
        <w:ind w:right="38"/>
        <w:rPr>
          <w:lang w:eastAsia="ja-JP"/>
        </w:rPr>
      </w:pPr>
      <w:r>
        <w:rPr>
          <w:w w:val="85"/>
          <w:lang w:eastAsia="ja-JP"/>
        </w:rPr>
        <w:t>本研究で得られた知見は、世界中の医療従事者に完全な可能性をもたらします。</w:t>
      </w:r>
      <w:r>
        <w:rPr>
          <w:w w:val="80"/>
          <w:lang w:eastAsia="ja-JP"/>
        </w:rPr>
        <w:t>なぜなら、これらの初期結果は、より正式な</w:t>
      </w:r>
      <w:r>
        <w:rPr>
          <w:w w:val="85"/>
          <w:lang w:eastAsia="ja-JP"/>
        </w:rPr>
        <w:t>研究の動機付けとなり、特に</w:t>
      </w:r>
      <w:r>
        <w:rPr>
          <w:spacing w:val="-1"/>
          <w:w w:val="85"/>
          <w:lang w:eastAsia="ja-JP"/>
        </w:rPr>
        <w:t>COVID19</w:t>
      </w:r>
      <w:r>
        <w:rPr>
          <w:w w:val="85"/>
          <w:lang w:eastAsia="ja-JP"/>
        </w:rPr>
        <w:t>における新たな治療法の探索をサポートするからです。</w:t>
      </w:r>
      <w:r>
        <w:rPr>
          <w:spacing w:val="-1"/>
          <w:w w:val="85"/>
          <w:lang w:eastAsia="ja-JP"/>
        </w:rPr>
        <w:t>また、</w:t>
      </w:r>
      <w:r>
        <w:rPr>
          <w:w w:val="85"/>
          <w:lang w:eastAsia="ja-JP"/>
        </w:rPr>
        <w:t>細胞呼吸、酸化還元シグナルのプロセスに関する分子レベルおよびゲノミクスでの研究スペースを生み出し、</w:t>
      </w:r>
      <w:r>
        <w:rPr>
          <w:w w:val="80"/>
          <w:lang w:eastAsia="ja-JP"/>
        </w:rPr>
        <w:t>共通の細胞内生体エネルギー</w:t>
      </w:r>
      <w:r>
        <w:rPr>
          <w:w w:val="90"/>
          <w:lang w:eastAsia="ja-JP"/>
        </w:rPr>
        <w:t>メカニズムが</w:t>
      </w:r>
      <w:r>
        <w:rPr>
          <w:w w:val="80"/>
          <w:lang w:eastAsia="ja-JP"/>
        </w:rPr>
        <w:t>変化した複数の病態へのアプローチ</w:t>
      </w:r>
      <w:r>
        <w:rPr>
          <w:w w:val="85"/>
          <w:lang w:eastAsia="ja-JP"/>
        </w:rPr>
        <w:t>のための新たな可能性として、酸化療法の導入を</w:t>
      </w:r>
      <w:r>
        <w:rPr>
          <w:spacing w:val="-1"/>
          <w:w w:val="85"/>
          <w:lang w:eastAsia="ja-JP"/>
        </w:rPr>
        <w:t>可能にするでしょう。</w:t>
      </w:r>
    </w:p>
    <w:p w14:paraId="3C64CCD0" w14:textId="77777777" w:rsidR="0092721B" w:rsidRDefault="00D22738">
      <w:pPr>
        <w:pStyle w:val="a3"/>
        <w:spacing w:before="121" w:line="244" w:lineRule="auto"/>
        <w:ind w:right="38"/>
        <w:rPr>
          <w:lang w:eastAsia="ja-JP"/>
        </w:rPr>
      </w:pPr>
      <w:r>
        <w:rPr>
          <w:w w:val="85"/>
          <w:lang w:eastAsia="ja-JP"/>
        </w:rPr>
        <w:t>この結果は、COVID19やその他のパンデミックや短い将来に発生する可能性のある疫病を緩和・制御することで、農学における感染症の制御、薬学における新しいナノテクノロジーの開発、そして人間一般にも拡張することができます。</w:t>
      </w:r>
    </w:p>
    <w:p w14:paraId="02121FC2" w14:textId="77777777" w:rsidR="0092721B" w:rsidRDefault="00D22738">
      <w:pPr>
        <w:pStyle w:val="a3"/>
        <w:spacing w:before="117" w:line="247" w:lineRule="auto"/>
        <w:ind w:right="38"/>
        <w:rPr>
          <w:lang w:eastAsia="ja-JP"/>
        </w:rPr>
      </w:pPr>
      <w:r>
        <w:rPr>
          <w:w w:val="85"/>
          <w:lang w:eastAsia="ja-JP"/>
        </w:rPr>
        <w:t>今回得られた結果は、これまでの研究を発展させるものではなく、この</w:t>
      </w:r>
      <w:r>
        <w:rPr>
          <w:w w:val="80"/>
          <w:lang w:eastAsia="ja-JP"/>
        </w:rPr>
        <w:t>種の研究としては世界初のパイロット研究であるため、</w:t>
      </w:r>
      <w:r>
        <w:rPr>
          <w:w w:val="85"/>
          <w:lang w:eastAsia="ja-JP"/>
        </w:rPr>
        <w:t>二酸化炭とそれに関連する問題について</w:t>
      </w:r>
      <w:r>
        <w:rPr>
          <w:w w:val="80"/>
          <w:lang w:eastAsia="ja-JP"/>
        </w:rPr>
        <w:t>多くの</w:t>
      </w:r>
      <w:r>
        <w:rPr>
          <w:w w:val="85"/>
          <w:lang w:eastAsia="ja-JP"/>
        </w:rPr>
        <w:t>研究を開始する</w:t>
      </w:r>
      <w:r>
        <w:rPr>
          <w:w w:val="80"/>
          <w:lang w:eastAsia="ja-JP"/>
        </w:rPr>
        <w:t>ことができます。</w:t>
      </w:r>
    </w:p>
    <w:p w14:paraId="0C5900F0" w14:textId="77777777" w:rsidR="0092721B" w:rsidRDefault="008834D1">
      <w:pPr>
        <w:pStyle w:val="a3"/>
        <w:spacing w:before="10"/>
        <w:ind w:left="0" w:firstLine="0"/>
        <w:jc w:val="left"/>
        <w:rPr>
          <w:sz w:val="17"/>
          <w:lang w:eastAsia="ja-JP"/>
        </w:rPr>
      </w:pPr>
      <w:r>
        <w:pict w14:anchorId="2C64FDC7">
          <v:shape id="docshape30" o:spid="_x0000_s1030" alt="" style="position:absolute;margin-left:42.5pt;margin-top:11.5pt;width:253.75pt;height:.1pt;z-index:-15714304;mso-wrap-edited:f;mso-width-percent:0;mso-height-percent:0;mso-wrap-distance-left:0;mso-wrap-distance-right:0;mso-position-horizontal-relative:page;mso-width-percent:0;mso-height-percent:0" coordsize="5075,1270" path="m,l5074,e" filled="f" strokecolor="#49266c" strokeweight="1pt">
            <v:path arrowok="t" o:connecttype="custom" o:connectlocs="0,0;2045963650,0" o:connectangles="0,0"/>
            <w10:wrap type="topAndBottom" anchorx="page"/>
          </v:shape>
        </w:pict>
      </w:r>
    </w:p>
    <w:p w14:paraId="4D85B827" w14:textId="77777777" w:rsidR="0092721B" w:rsidRDefault="00D22738">
      <w:pPr>
        <w:pStyle w:val="2"/>
        <w:rPr>
          <w:lang w:eastAsia="ja-JP"/>
        </w:rPr>
      </w:pPr>
      <w:r>
        <w:rPr>
          <w:color w:val="49266D"/>
          <w:w w:val="90"/>
          <w:lang w:eastAsia="ja-JP"/>
        </w:rPr>
        <w:t>結論</w:t>
      </w:r>
    </w:p>
    <w:p w14:paraId="1DF68D26" w14:textId="77777777" w:rsidR="0092721B" w:rsidRDefault="00D22738">
      <w:pPr>
        <w:pStyle w:val="a3"/>
        <w:spacing w:before="224" w:line="264" w:lineRule="auto"/>
        <w:ind w:right="38"/>
        <w:rPr>
          <w:lang w:eastAsia="ja-JP"/>
        </w:rPr>
      </w:pPr>
      <w:r>
        <w:rPr>
          <w:w w:val="80"/>
          <w:lang w:eastAsia="ja-JP"/>
        </w:rPr>
        <w:t>結論として、比率とその信頼区間の比較検定、および</w:t>
      </w:r>
      <w:r>
        <w:rPr>
          <w:color w:val="0D0D0D"/>
          <w:w w:val="85"/>
          <w:lang w:eastAsia="ja-JP"/>
        </w:rPr>
        <w:t>Wilcoxon-Mann-Whitney</w:t>
      </w:r>
      <w:r>
        <w:rPr>
          <w:w w:val="85"/>
          <w:lang w:eastAsia="ja-JP"/>
        </w:rPr>
        <w:t>検定（</w:t>
      </w:r>
      <w:r>
        <w:rPr>
          <w:rFonts w:ascii="Courier New" w:hAnsi="Courier New"/>
          <w:w w:val="85"/>
        </w:rPr>
        <w:t>α</w:t>
      </w:r>
      <w:r>
        <w:rPr>
          <w:w w:val="85"/>
          <w:lang w:eastAsia="ja-JP"/>
        </w:rPr>
        <w:t>：95％）を用いたペア検定</w:t>
      </w:r>
      <w:r>
        <w:rPr>
          <w:w w:val="80"/>
          <w:lang w:eastAsia="ja-JP"/>
        </w:rPr>
        <w:t>に基づき、</w:t>
      </w:r>
      <w:r>
        <w:rPr>
          <w:w w:val="85"/>
          <w:lang w:eastAsia="ja-JP"/>
        </w:rPr>
        <w:t>得られたほとんどの変数のデータ（</w:t>
      </w:r>
      <w:r>
        <w:rPr>
          <w:i/>
          <w:w w:val="85"/>
          <w:lang w:eastAsia="ja-JP"/>
        </w:rPr>
        <w:t>P</w:t>
      </w:r>
      <w:r>
        <w:rPr>
          <w:w w:val="85"/>
          <w:lang w:eastAsia="ja-JP"/>
        </w:rPr>
        <w:t>＜0.05）は、二酸化</w:t>
      </w:r>
      <w:r>
        <w:rPr>
          <w:spacing w:val="-4"/>
          <w:w w:val="85"/>
          <w:lang w:eastAsia="ja-JP"/>
        </w:rPr>
        <w:t>塩素が</w:t>
      </w:r>
      <w:r>
        <w:rPr>
          <w:w w:val="80"/>
          <w:lang w:eastAsia="ja-JP"/>
        </w:rPr>
        <w:t>COVID19の治療</w:t>
      </w:r>
      <w:r>
        <w:rPr>
          <w:w w:val="85"/>
          <w:lang w:eastAsia="ja-JP"/>
        </w:rPr>
        <w:t>に有効であり</w:t>
      </w:r>
      <w:r>
        <w:rPr>
          <w:w w:val="80"/>
          <w:lang w:eastAsia="ja-JP"/>
        </w:rPr>
        <w:t>、</w:t>
      </w:r>
      <w:r>
        <w:rPr>
          <w:w w:val="85"/>
          <w:lang w:eastAsia="ja-JP"/>
        </w:rPr>
        <w:t>7日後に</w:t>
      </w:r>
      <w:r>
        <w:rPr>
          <w:w w:val="80"/>
          <w:lang w:eastAsia="ja-JP"/>
        </w:rPr>
        <w:t>100％の</w:t>
      </w:r>
      <w:r>
        <w:rPr>
          <w:w w:val="85"/>
          <w:lang w:eastAsia="ja-JP"/>
        </w:rPr>
        <w:t>症例</w:t>
      </w:r>
      <w:r>
        <w:rPr>
          <w:w w:val="80"/>
          <w:lang w:eastAsia="ja-JP"/>
        </w:rPr>
        <w:t>でRT</w:t>
      </w:r>
      <w:r>
        <w:rPr>
          <w:spacing w:val="15"/>
          <w:w w:val="80"/>
          <w:lang w:eastAsia="ja-JP"/>
        </w:rPr>
        <w:t>-</w:t>
      </w:r>
      <w:r>
        <w:rPr>
          <w:w w:val="80"/>
          <w:lang w:eastAsia="ja-JP"/>
        </w:rPr>
        <w:t>PCRを陰性化し</w:t>
      </w:r>
      <w:r>
        <w:rPr>
          <w:w w:val="85"/>
          <w:lang w:eastAsia="ja-JP"/>
        </w:rPr>
        <w:t>、疾患の症状を有意かつ迅速に変化させ、14日から</w:t>
      </w:r>
      <w:r>
        <w:rPr>
          <w:w w:val="80"/>
          <w:lang w:eastAsia="ja-JP"/>
        </w:rPr>
        <w:t>21日</w:t>
      </w:r>
      <w:r>
        <w:rPr>
          <w:w w:val="85"/>
          <w:lang w:eastAsia="ja-JP"/>
        </w:rPr>
        <w:t>以内に検査パラメーターを正常値にまで低下させることを、</w:t>
      </w:r>
      <w:r>
        <w:rPr>
          <w:w w:val="80"/>
          <w:lang w:eastAsia="ja-JP"/>
        </w:rPr>
        <w:t>疑いなく断言できる。近い将来、無作為化二重盲検試験を実施し、疫学的影響のある病態における二酸化塩素の毒物学的安全性と治療効果の研究を掘り下げることをお勧めします。</w:t>
      </w:r>
    </w:p>
    <w:p w14:paraId="16919EF5" w14:textId="77777777" w:rsidR="0092721B" w:rsidRDefault="00D22738">
      <w:pPr>
        <w:pStyle w:val="3"/>
        <w:spacing w:before="93"/>
        <w:jc w:val="left"/>
        <w:rPr>
          <w:lang w:eastAsia="ja-JP"/>
        </w:rPr>
      </w:pPr>
      <w:r>
        <w:rPr>
          <w:w w:val="90"/>
          <w:lang w:eastAsia="ja-JP"/>
        </w:rPr>
        <w:t>認識</w:t>
      </w:r>
    </w:p>
    <w:p w14:paraId="6B8BE0A9" w14:textId="77777777" w:rsidR="0092721B" w:rsidRDefault="00D22738">
      <w:pPr>
        <w:pStyle w:val="a3"/>
        <w:spacing w:before="114" w:line="249" w:lineRule="auto"/>
        <w:jc w:val="left"/>
        <w:rPr>
          <w:lang w:eastAsia="ja-JP"/>
        </w:rPr>
      </w:pPr>
      <w:r>
        <w:rPr>
          <w:w w:val="80"/>
          <w:lang w:eastAsia="ja-JP"/>
        </w:rPr>
        <w:t>皆様のご協力と</w:t>
      </w:r>
      <w:r>
        <w:rPr>
          <w:w w:val="90"/>
          <w:lang w:eastAsia="ja-JP"/>
        </w:rPr>
        <w:t>ご</w:t>
      </w:r>
      <w:r>
        <w:rPr>
          <w:w w:val="80"/>
          <w:lang w:eastAsia="ja-JP"/>
        </w:rPr>
        <w:t>貢献に感謝申し上げます。</w:t>
      </w:r>
    </w:p>
    <w:p w14:paraId="7036B46B" w14:textId="77777777" w:rsidR="0092721B" w:rsidRDefault="00D22738">
      <w:pPr>
        <w:pStyle w:val="a3"/>
        <w:spacing w:before="115" w:line="249" w:lineRule="auto"/>
        <w:ind w:right="38"/>
      </w:pPr>
      <w:r>
        <w:rPr>
          <w:b/>
          <w:w w:val="80"/>
        </w:rPr>
        <w:t xml:space="preserve">Mitchell B. Liester, Doctor of Medicine, </w:t>
      </w:r>
      <w:r>
        <w:rPr>
          <w:w w:val="80"/>
        </w:rPr>
        <w:t>University of Colorado School of Medicine, Colorado Springs Branch、</w:t>
      </w:r>
      <w:r>
        <w:rPr>
          <w:w w:val="85"/>
        </w:rPr>
        <w:t>患者のための新しい選択肢の探求における</w:t>
      </w:r>
      <w:r>
        <w:rPr>
          <w:w w:val="80"/>
        </w:rPr>
        <w:t>概念的な貢献と</w:t>
      </w:r>
      <w:r>
        <w:rPr>
          <w:w w:val="85"/>
        </w:rPr>
        <w:t>無私の支援</w:t>
      </w:r>
      <w:r>
        <w:rPr>
          <w:w w:val="80"/>
        </w:rPr>
        <w:t>に対して。</w:t>
      </w:r>
    </w:p>
    <w:p w14:paraId="7DB464FA" w14:textId="77777777" w:rsidR="0092721B" w:rsidRDefault="00D22738">
      <w:pPr>
        <w:pStyle w:val="a3"/>
        <w:spacing w:before="116" w:line="249" w:lineRule="auto"/>
        <w:ind w:right="38"/>
        <w:rPr>
          <w:lang w:eastAsia="ja-JP"/>
        </w:rPr>
      </w:pPr>
      <w:r>
        <w:rPr>
          <w:w w:val="80"/>
          <w:lang w:eastAsia="ja-JP"/>
        </w:rPr>
        <w:t>二酸化塩素の研究</w:t>
      </w:r>
      <w:r>
        <w:rPr>
          <w:w w:val="85"/>
          <w:lang w:eastAsia="ja-JP"/>
        </w:rPr>
        <w:t>に携わってくださった11カ国の医師の方々、そして世界中の何千人もの医師の方々</w:t>
      </w:r>
      <w:r>
        <w:rPr>
          <w:w w:val="80"/>
          <w:lang w:eastAsia="ja-JP"/>
        </w:rPr>
        <w:t>に</w:t>
      </w:r>
      <w:r>
        <w:rPr>
          <w:rFonts w:ascii="Arial-BoldItalicMT"/>
          <w:b/>
          <w:i/>
          <w:w w:val="85"/>
          <w:lang w:eastAsia="ja-JP"/>
        </w:rPr>
        <w:t>感謝します。</w:t>
      </w:r>
      <w:r>
        <w:rPr>
          <w:w w:val="80"/>
          <w:lang w:eastAsia="ja-JP"/>
        </w:rPr>
        <w:t>これらの方々のご支援、証言、概念的な貢献、そして困難な</w:t>
      </w:r>
      <w:r>
        <w:rPr>
          <w:w w:val="85"/>
          <w:lang w:eastAsia="ja-JP"/>
        </w:rPr>
        <w:t>道のりにもかかわらずこの研究を続けるための励ましの声</w:t>
      </w:r>
      <w:r>
        <w:rPr>
          <w:w w:val="80"/>
          <w:lang w:eastAsia="ja-JP"/>
        </w:rPr>
        <w:t>に感謝します。また、</w:t>
      </w:r>
      <w:r>
        <w:rPr>
          <w:b/>
          <w:w w:val="85"/>
          <w:lang w:eastAsia="ja-JP"/>
        </w:rPr>
        <w:t>アンドレアス・カルカー氏に</w:t>
      </w:r>
      <w:r>
        <w:rPr>
          <w:w w:val="85"/>
          <w:lang w:eastAsia="ja-JP"/>
        </w:rPr>
        <w:t>は</w:t>
      </w:r>
      <w:r>
        <w:rPr>
          <w:w w:val="80"/>
          <w:lang w:eastAsia="ja-JP"/>
        </w:rPr>
        <w:t>、</w:t>
      </w:r>
      <w:r>
        <w:rPr>
          <w:w w:val="85"/>
          <w:lang w:eastAsia="ja-JP"/>
        </w:rPr>
        <w:t>彼の光、知性、エネルギー、そして</w:t>
      </w:r>
      <w:r>
        <w:rPr>
          <w:w w:val="80"/>
          <w:lang w:eastAsia="ja-JP"/>
        </w:rPr>
        <w:t>前進する意欲</w:t>
      </w:r>
      <w:r>
        <w:rPr>
          <w:w w:val="85"/>
          <w:lang w:eastAsia="ja-JP"/>
        </w:rPr>
        <w:t>を与えてくれたこと</w:t>
      </w:r>
      <w:r>
        <w:rPr>
          <w:w w:val="80"/>
          <w:lang w:eastAsia="ja-JP"/>
        </w:rPr>
        <w:t>に感謝します。</w:t>
      </w:r>
    </w:p>
    <w:p w14:paraId="0C92D19F" w14:textId="77777777" w:rsidR="0092721B" w:rsidRDefault="00D22738">
      <w:pPr>
        <w:pStyle w:val="a3"/>
        <w:spacing w:before="120" w:line="249" w:lineRule="auto"/>
        <w:ind w:right="34"/>
        <w:jc w:val="left"/>
        <w:rPr>
          <w:lang w:eastAsia="ja-JP"/>
        </w:rPr>
      </w:pPr>
      <w:r>
        <w:rPr>
          <w:w w:val="80"/>
          <w:lang w:eastAsia="ja-JP"/>
        </w:rPr>
        <w:t>研究に参加されたすべての患者さん、特に私たちを信頼し、より良い世界のために新たな可能性を求める私たちに付き合ってくださった方に。</w:t>
      </w:r>
    </w:p>
    <w:p w14:paraId="77806B8B" w14:textId="77777777" w:rsidR="0092721B" w:rsidRDefault="00D22738">
      <w:pPr>
        <w:pStyle w:val="a3"/>
        <w:spacing w:before="104"/>
        <w:ind w:left="413" w:firstLine="0"/>
        <w:jc w:val="left"/>
        <w:rPr>
          <w:lang w:eastAsia="ja-JP"/>
        </w:rPr>
      </w:pPr>
      <w:r>
        <w:rPr>
          <w:lang w:eastAsia="ja-JP"/>
        </w:rPr>
        <w:br w:type="column"/>
      </w:r>
      <w:r>
        <w:rPr>
          <w:w w:val="80"/>
          <w:lang w:eastAsia="ja-JP"/>
        </w:rPr>
        <w:t>患者のデータ記録をずっとサポートしてくれたNelaに。</w:t>
      </w:r>
    </w:p>
    <w:p w14:paraId="14AAA8D6" w14:textId="77777777" w:rsidR="0092721B" w:rsidRDefault="00D22738">
      <w:pPr>
        <w:spacing w:before="122" w:line="249" w:lineRule="auto"/>
        <w:ind w:left="130" w:right="124" w:firstLine="283"/>
        <w:jc w:val="both"/>
        <w:rPr>
          <w:sz w:val="18"/>
          <w:lang w:eastAsia="ja-JP"/>
        </w:rPr>
      </w:pPr>
      <w:r>
        <w:rPr>
          <w:b/>
          <w:w w:val="85"/>
          <w:sz w:val="18"/>
          <w:lang w:eastAsia="ja-JP"/>
        </w:rPr>
        <w:t>Luis Prieto</w:t>
      </w:r>
      <w:r>
        <w:rPr>
          <w:w w:val="85"/>
          <w:sz w:val="18"/>
          <w:lang w:eastAsia="ja-JP"/>
        </w:rPr>
        <w:t>教授、</w:t>
      </w:r>
      <w:r>
        <w:rPr>
          <w:b/>
          <w:color w:val="0D0D0D"/>
          <w:w w:val="85"/>
          <w:sz w:val="18"/>
          <w:lang w:eastAsia="ja-JP"/>
        </w:rPr>
        <w:t>Jorge Gaupp教授</w:t>
      </w:r>
      <w:r>
        <w:rPr>
          <w:b/>
          <w:w w:val="85"/>
          <w:sz w:val="18"/>
          <w:lang w:eastAsia="ja-JP"/>
        </w:rPr>
        <w:t>、Pablo Campra教授には、この</w:t>
      </w:r>
      <w:r>
        <w:rPr>
          <w:w w:val="80"/>
          <w:sz w:val="18"/>
          <w:lang w:eastAsia="ja-JP"/>
        </w:rPr>
        <w:t>作品に対して批判的なコメントを</w:t>
      </w:r>
      <w:r>
        <w:rPr>
          <w:w w:val="85"/>
          <w:sz w:val="18"/>
          <w:lang w:eastAsia="ja-JP"/>
        </w:rPr>
        <w:t>いただきました。</w:t>
      </w:r>
      <w:r>
        <w:rPr>
          <w:w w:val="80"/>
          <w:sz w:val="18"/>
          <w:lang w:eastAsia="ja-JP"/>
        </w:rPr>
        <w:t>彼らの観察により、我々</w:t>
      </w:r>
      <w:r>
        <w:rPr>
          <w:w w:val="90"/>
          <w:sz w:val="18"/>
          <w:lang w:eastAsia="ja-JP"/>
        </w:rPr>
        <w:t>の努力</w:t>
      </w:r>
      <w:r>
        <w:rPr>
          <w:w w:val="80"/>
          <w:sz w:val="18"/>
          <w:lang w:eastAsia="ja-JP"/>
        </w:rPr>
        <w:t>を向上させることができました。</w:t>
      </w:r>
    </w:p>
    <w:p w14:paraId="721BDE99" w14:textId="77777777" w:rsidR="0092721B" w:rsidRDefault="00D22738">
      <w:pPr>
        <w:pStyle w:val="a3"/>
        <w:spacing w:before="116"/>
        <w:ind w:left="414" w:firstLine="0"/>
        <w:jc w:val="left"/>
        <w:rPr>
          <w:lang w:eastAsia="ja-JP"/>
        </w:rPr>
      </w:pPr>
      <w:r>
        <w:rPr>
          <w:b/>
          <w:color w:val="202020"/>
          <w:w w:val="80"/>
          <w:lang w:eastAsia="ja-JP"/>
        </w:rPr>
        <w:t>金です。</w:t>
      </w:r>
      <w:r>
        <w:rPr>
          <w:color w:val="202020"/>
          <w:w w:val="80"/>
          <w:lang w:eastAsia="ja-JP"/>
        </w:rPr>
        <w:t>本研究は、研究者の自己資金で行われました。</w:t>
      </w:r>
    </w:p>
    <w:p w14:paraId="32379103" w14:textId="77777777" w:rsidR="0092721B" w:rsidRDefault="00D22738">
      <w:pPr>
        <w:pStyle w:val="a3"/>
        <w:spacing w:before="122" w:line="249" w:lineRule="auto"/>
        <w:ind w:right="124"/>
        <w:rPr>
          <w:lang w:eastAsia="ja-JP"/>
        </w:rPr>
      </w:pPr>
      <w:r>
        <w:rPr>
          <w:b/>
          <w:color w:val="202020"/>
          <w:w w:val="85"/>
          <w:lang w:eastAsia="ja-JP"/>
        </w:rPr>
        <w:t>利害の衝突。著者は，</w:t>
      </w:r>
      <w:r>
        <w:rPr>
          <w:color w:val="202020"/>
          <w:w w:val="85"/>
          <w:lang w:eastAsia="ja-JP"/>
        </w:rPr>
        <w:t>利益相反または</w:t>
      </w:r>
      <w:r>
        <w:rPr>
          <w:color w:val="202020"/>
          <w:w w:val="80"/>
          <w:lang w:eastAsia="ja-JP"/>
        </w:rPr>
        <w:t>競合する経済的利益が</w:t>
      </w:r>
      <w:r>
        <w:rPr>
          <w:color w:val="202020"/>
          <w:w w:val="85"/>
          <w:lang w:eastAsia="ja-JP"/>
        </w:rPr>
        <w:t>ないことを宣言する。</w:t>
      </w:r>
      <w:r>
        <w:rPr>
          <w:color w:val="333333"/>
          <w:w w:val="80"/>
          <w:lang w:eastAsia="ja-JP"/>
        </w:rPr>
        <w:t>著者は、</w:t>
      </w:r>
      <w:r>
        <w:rPr>
          <w:color w:val="333333"/>
          <w:w w:val="85"/>
          <w:lang w:eastAsia="ja-JP"/>
        </w:rPr>
        <w:t>Medwaveがスペイン語に翻訳した</w:t>
      </w:r>
      <w:r>
        <w:rPr>
          <w:color w:val="333333"/>
          <w:w w:val="80"/>
          <w:lang w:eastAsia="ja-JP"/>
        </w:rPr>
        <w:t>ICMJE</w:t>
      </w:r>
      <w:r>
        <w:rPr>
          <w:color w:val="333333"/>
          <w:w w:val="85"/>
          <w:lang w:eastAsia="ja-JP"/>
        </w:rPr>
        <w:t>利益</w:t>
      </w:r>
      <w:r>
        <w:rPr>
          <w:color w:val="333333"/>
          <w:w w:val="80"/>
          <w:lang w:eastAsia="ja-JP"/>
        </w:rPr>
        <w:t>相反</w:t>
      </w:r>
      <w:r>
        <w:rPr>
          <w:color w:val="333333"/>
          <w:w w:val="85"/>
          <w:lang w:eastAsia="ja-JP"/>
        </w:rPr>
        <w:t>申告書</w:t>
      </w:r>
      <w:r>
        <w:rPr>
          <w:color w:val="333333"/>
          <w:w w:val="80"/>
          <w:lang w:eastAsia="ja-JP"/>
        </w:rPr>
        <w:t>に記入し、論文／研究のための資金提供を受けていないこと、過去3年間に</w:t>
      </w:r>
      <w:r>
        <w:rPr>
          <w:color w:val="333333"/>
          <w:w w:val="85"/>
          <w:lang w:eastAsia="ja-JP"/>
        </w:rPr>
        <w:t>掲載</w:t>
      </w:r>
      <w:r>
        <w:rPr>
          <w:color w:val="333333"/>
          <w:w w:val="80"/>
          <w:lang w:eastAsia="ja-JP"/>
        </w:rPr>
        <w:t>論文に利害関係を持ち</w:t>
      </w:r>
      <w:r>
        <w:rPr>
          <w:color w:val="333333"/>
          <w:w w:val="85"/>
          <w:lang w:eastAsia="ja-JP"/>
        </w:rPr>
        <w:t>うる組織との</w:t>
      </w:r>
      <w:r>
        <w:rPr>
          <w:color w:val="333333"/>
          <w:w w:val="80"/>
          <w:lang w:eastAsia="ja-JP"/>
        </w:rPr>
        <w:t>金銭的</w:t>
      </w:r>
      <w:r>
        <w:rPr>
          <w:color w:val="333333"/>
          <w:w w:val="85"/>
          <w:lang w:eastAsia="ja-JP"/>
        </w:rPr>
        <w:t>関係がないこと、</w:t>
      </w:r>
      <w:r>
        <w:rPr>
          <w:color w:val="333333"/>
          <w:w w:val="80"/>
          <w:lang w:eastAsia="ja-JP"/>
        </w:rPr>
        <w:t>掲載論文に影響を与えうるその他の関係や活動がないことを宣言している。フォームは、責任ある著者に連絡して請求することができます。また、</w:t>
      </w:r>
      <w:r>
        <w:rPr>
          <w:color w:val="202020"/>
          <w:w w:val="90"/>
          <w:lang w:eastAsia="ja-JP"/>
        </w:rPr>
        <w:t>データや資料の交換</w:t>
      </w:r>
      <w:r>
        <w:rPr>
          <w:color w:val="202020"/>
          <w:w w:val="80"/>
          <w:lang w:eastAsia="ja-JP"/>
        </w:rPr>
        <w:t>に関するすべての方針に著者が従うことを変更するものではありません。</w:t>
      </w:r>
    </w:p>
    <w:p w14:paraId="18C2FCA1" w14:textId="77777777" w:rsidR="0092721B" w:rsidRDefault="008834D1">
      <w:pPr>
        <w:pStyle w:val="a3"/>
        <w:spacing w:before="2"/>
        <w:ind w:left="0" w:firstLine="0"/>
        <w:jc w:val="left"/>
        <w:rPr>
          <w:lang w:eastAsia="ja-JP"/>
        </w:rPr>
      </w:pPr>
      <w:r>
        <w:pict w14:anchorId="787F40F1">
          <v:shape id="docshape31" o:spid="_x0000_s1029" alt="" style="position:absolute;margin-left:313.25pt;margin-top:11.65pt;width:253.75pt;height:.1pt;z-index:-15713792;mso-wrap-edited:f;mso-width-percent:0;mso-height-percent:0;mso-wrap-distance-left:0;mso-wrap-distance-right:0;mso-position-horizontal-relative:page;mso-width-percent:0;mso-height-percent:0" coordsize="5075,1270" path="m,l5074,e" filled="f" strokecolor="#49266c" strokeweight="1pt">
            <v:path arrowok="t" o:connecttype="custom" o:connectlocs="0,0;2045963650,0" o:connectangles="0,0"/>
            <w10:wrap type="topAndBottom" anchorx="page"/>
          </v:shape>
        </w:pict>
      </w:r>
    </w:p>
    <w:p w14:paraId="0B626C7B" w14:textId="77777777" w:rsidR="0092721B" w:rsidRDefault="00D22738">
      <w:pPr>
        <w:pStyle w:val="2"/>
      </w:pPr>
      <w:r>
        <w:rPr>
          <w:color w:val="49266C"/>
          <w:w w:val="90"/>
        </w:rPr>
        <w:t>リファレンス</w:t>
      </w:r>
    </w:p>
    <w:p w14:paraId="59E862CE" w14:textId="77777777" w:rsidR="0092721B" w:rsidRDefault="008834D1">
      <w:pPr>
        <w:pStyle w:val="a5"/>
        <w:numPr>
          <w:ilvl w:val="0"/>
          <w:numId w:val="1"/>
        </w:numPr>
        <w:tabs>
          <w:tab w:val="left" w:pos="414"/>
        </w:tabs>
        <w:spacing w:before="205" w:line="249" w:lineRule="auto"/>
        <w:ind w:right="126"/>
        <w:jc w:val="both"/>
        <w:rPr>
          <w:sz w:val="16"/>
        </w:rPr>
      </w:pPr>
      <w:hyperlink r:id="rId33">
        <w:r w:rsidR="00D22738">
          <w:rPr>
            <w:w w:val="80"/>
            <w:sz w:val="16"/>
          </w:rPr>
          <w:t xml:space="preserve">https://www.naturalnews.com/2020-05-18-researchers-claim-100-percent-cure- </w:t>
        </w:r>
      </w:hyperlink>
      <w:hyperlink r:id="rId34">
        <w:r w:rsidR="00D22738">
          <w:rPr>
            <w:w w:val="90"/>
            <w:sz w:val="16"/>
          </w:rPr>
          <w:t>rate-vs-covid-19-ecuador-intravenous-chlorine-dioxide.html</w:t>
        </w:r>
      </w:hyperlink>
    </w:p>
    <w:p w14:paraId="4323548C" w14:textId="77777777" w:rsidR="0092721B" w:rsidRDefault="008834D1">
      <w:pPr>
        <w:pStyle w:val="a5"/>
        <w:numPr>
          <w:ilvl w:val="0"/>
          <w:numId w:val="1"/>
        </w:numPr>
        <w:tabs>
          <w:tab w:val="left" w:pos="414"/>
        </w:tabs>
        <w:spacing w:before="115"/>
        <w:ind w:right="0"/>
        <w:rPr>
          <w:sz w:val="16"/>
        </w:rPr>
      </w:pPr>
      <w:hyperlink r:id="rId35">
        <w:r w:rsidR="00D22738">
          <w:rPr>
            <w:w w:val="90"/>
            <w:sz w:val="16"/>
          </w:rPr>
          <w:t>https://www.atsdr.cdc.gov/ToxProfiles/tp160-c1-b.pdf</w:t>
        </w:r>
      </w:hyperlink>
    </w:p>
    <w:p w14:paraId="3D6F6549" w14:textId="77777777" w:rsidR="0092721B" w:rsidRDefault="00D22738">
      <w:pPr>
        <w:pStyle w:val="a5"/>
        <w:numPr>
          <w:ilvl w:val="0"/>
          <w:numId w:val="1"/>
        </w:numPr>
        <w:tabs>
          <w:tab w:val="left" w:pos="414"/>
        </w:tabs>
        <w:spacing w:before="121" w:line="249" w:lineRule="auto"/>
        <w:jc w:val="both"/>
        <w:rPr>
          <w:sz w:val="16"/>
        </w:rPr>
      </w:pPr>
      <w:r>
        <w:rPr>
          <w:spacing w:val="-1"/>
          <w:w w:val="90"/>
          <w:sz w:val="16"/>
        </w:rPr>
        <w:t xml:space="preserve">Walls, Alexandra C, Young-Jun Park, M Alejandra </w:t>
      </w:r>
      <w:r>
        <w:rPr>
          <w:w w:val="90"/>
          <w:sz w:val="16"/>
        </w:rPr>
        <w:t xml:space="preserve">Tortorici, Abigail </w:t>
      </w:r>
      <w:r>
        <w:rPr>
          <w:w w:val="85"/>
          <w:sz w:val="16"/>
        </w:rPr>
        <w:t xml:space="preserve">Wall, et al. "Structure, Function, and Antigenicity of the SARS-Cov-2 Spike </w:t>
      </w:r>
      <w:r>
        <w:rPr>
          <w:w w:val="90"/>
          <w:sz w:val="16"/>
        </w:rPr>
        <w:t>Glycoprotein".</w:t>
      </w:r>
      <w:r>
        <w:rPr>
          <w:i/>
          <w:w w:val="90"/>
          <w:sz w:val="16"/>
        </w:rPr>
        <w:t xml:space="preserve">Cell </w:t>
      </w:r>
      <w:r>
        <w:rPr>
          <w:w w:val="90"/>
          <w:sz w:val="16"/>
        </w:rPr>
        <w:t>181(2020): 281-292.</w:t>
      </w:r>
    </w:p>
    <w:p w14:paraId="758D86F8" w14:textId="77777777" w:rsidR="0092721B" w:rsidRDefault="00D22738">
      <w:pPr>
        <w:pStyle w:val="a5"/>
        <w:numPr>
          <w:ilvl w:val="0"/>
          <w:numId w:val="1"/>
        </w:numPr>
        <w:tabs>
          <w:tab w:val="left" w:pos="414"/>
        </w:tabs>
        <w:spacing w:before="116" w:line="249" w:lineRule="auto"/>
        <w:jc w:val="both"/>
        <w:rPr>
          <w:sz w:val="16"/>
        </w:rPr>
      </w:pPr>
      <w:r>
        <w:rPr>
          <w:w w:val="85"/>
          <w:sz w:val="16"/>
        </w:rPr>
        <w:t xml:space="preserve">Grifoni, Alba, John Sidney, Yun Zhang, Richard H Scheuermann, et al. "Candidate targets for Immune Responses to 2019-Novel Coronavirus </w:t>
      </w:r>
      <w:r>
        <w:rPr>
          <w:w w:val="80"/>
          <w:sz w:val="16"/>
        </w:rPr>
        <w:t>(nCoV):Sequence Homology and Bioinformatic-Based Predictions."</w:t>
      </w:r>
      <w:r>
        <w:rPr>
          <w:i/>
          <w:w w:val="80"/>
          <w:sz w:val="16"/>
        </w:rPr>
        <w:t xml:space="preserve">Cell-Host- </w:t>
      </w:r>
      <w:r>
        <w:rPr>
          <w:i/>
          <w:w w:val="90"/>
          <w:sz w:val="16"/>
        </w:rPr>
        <w:t>Microbe-D-20-00119</w:t>
      </w:r>
      <w:r>
        <w:rPr>
          <w:w w:val="90"/>
          <w:sz w:val="16"/>
        </w:rPr>
        <w:t>（2020年）。</w:t>
      </w:r>
    </w:p>
    <w:p w14:paraId="517FD60C" w14:textId="77777777" w:rsidR="0092721B" w:rsidRDefault="00D22738">
      <w:pPr>
        <w:pStyle w:val="a5"/>
        <w:numPr>
          <w:ilvl w:val="0"/>
          <w:numId w:val="1"/>
        </w:numPr>
        <w:tabs>
          <w:tab w:val="left" w:pos="414"/>
        </w:tabs>
        <w:spacing w:before="116" w:line="249" w:lineRule="auto"/>
        <w:ind w:right="125"/>
        <w:jc w:val="both"/>
        <w:rPr>
          <w:sz w:val="16"/>
        </w:rPr>
      </w:pPr>
      <w:r>
        <w:rPr>
          <w:w w:val="85"/>
          <w:sz w:val="16"/>
        </w:rPr>
        <w:t xml:space="preserve">Alvarez, Maria E and RT O'Brien."Mechanisms of Inactivation of Poliovirus by </w:t>
      </w:r>
      <w:r>
        <w:rPr>
          <w:w w:val="80"/>
          <w:sz w:val="16"/>
        </w:rPr>
        <w:t>Chlorine Dioxide and Iodine" (二酸化塩素とヨウ素</w:t>
      </w:r>
      <w:r>
        <w:rPr>
          <w:w w:val="85"/>
          <w:sz w:val="16"/>
        </w:rPr>
        <w:t>によるポリオウイルスの不活性化のメカニズム)</w:t>
      </w:r>
      <w:r>
        <w:rPr>
          <w:i/>
          <w:w w:val="80"/>
          <w:sz w:val="16"/>
        </w:rPr>
        <w:t xml:space="preserve">Appl Environ Microbiol </w:t>
      </w:r>
      <w:r>
        <w:rPr>
          <w:w w:val="80"/>
          <w:sz w:val="16"/>
        </w:rPr>
        <w:t>44(1982): 1064-1071.</w:t>
      </w:r>
    </w:p>
    <w:p w14:paraId="3043713D" w14:textId="77777777" w:rsidR="0092721B" w:rsidRDefault="00D22738">
      <w:pPr>
        <w:pStyle w:val="a5"/>
        <w:numPr>
          <w:ilvl w:val="0"/>
          <w:numId w:val="1"/>
        </w:numPr>
        <w:tabs>
          <w:tab w:val="left" w:pos="414"/>
        </w:tabs>
        <w:spacing w:before="114" w:line="249" w:lineRule="auto"/>
        <w:jc w:val="both"/>
        <w:rPr>
          <w:sz w:val="16"/>
        </w:rPr>
      </w:pPr>
      <w:r>
        <w:rPr>
          <w:w w:val="80"/>
          <w:sz w:val="16"/>
        </w:rPr>
        <w:t>Calabrese, Edward J, Gary S Moore and Robert W Tuthill."The Health Effects of Chlorine Dioxide as a Disinfectant in Potable Water:A literature survey."</w:t>
      </w:r>
      <w:r>
        <w:rPr>
          <w:i/>
          <w:w w:val="80"/>
          <w:sz w:val="16"/>
        </w:rPr>
        <w:t xml:space="preserve">J Environ </w:t>
      </w:r>
      <w:r>
        <w:rPr>
          <w:i/>
          <w:w w:val="90"/>
          <w:sz w:val="16"/>
        </w:rPr>
        <w:t xml:space="preserve">Health </w:t>
      </w:r>
      <w:r>
        <w:rPr>
          <w:w w:val="90"/>
          <w:sz w:val="16"/>
        </w:rPr>
        <w:t>41(1978): 26-31.</w:t>
      </w:r>
    </w:p>
    <w:p w14:paraId="265BF3B3" w14:textId="77777777" w:rsidR="0092721B" w:rsidRDefault="00D22738">
      <w:pPr>
        <w:pStyle w:val="a5"/>
        <w:numPr>
          <w:ilvl w:val="0"/>
          <w:numId w:val="1"/>
        </w:numPr>
        <w:tabs>
          <w:tab w:val="left" w:pos="414"/>
        </w:tabs>
        <w:spacing w:before="116" w:line="249" w:lineRule="auto"/>
        <w:ind w:right="125"/>
        <w:jc w:val="both"/>
        <w:rPr>
          <w:sz w:val="16"/>
        </w:rPr>
      </w:pPr>
      <w:r>
        <w:rPr>
          <w:w w:val="85"/>
          <w:sz w:val="16"/>
        </w:rPr>
        <w:t xml:space="preserve">Chen, Yu-Shiaw and James M Vaughn."Inactivation of Human and Simian </w:t>
      </w:r>
      <w:r>
        <w:rPr>
          <w:w w:val="80"/>
          <w:sz w:val="16"/>
        </w:rPr>
        <w:t>Rotavirus by Chlorine Dioxide" (二酸化塩素による</w:t>
      </w:r>
      <w:r>
        <w:rPr>
          <w:w w:val="85"/>
          <w:sz w:val="16"/>
        </w:rPr>
        <w:t>ヒトおよび</w:t>
      </w:r>
      <w:r>
        <w:rPr>
          <w:w w:val="80"/>
          <w:sz w:val="16"/>
        </w:rPr>
        <w:t>シミアン・ロタウイルス</w:t>
      </w:r>
      <w:r>
        <w:rPr>
          <w:w w:val="85"/>
          <w:sz w:val="16"/>
        </w:rPr>
        <w:t>の不活性化)</w:t>
      </w:r>
      <w:r>
        <w:rPr>
          <w:i/>
          <w:w w:val="80"/>
          <w:sz w:val="16"/>
        </w:rPr>
        <w:t xml:space="preserve">Appl Environ Microb </w:t>
      </w:r>
      <w:r>
        <w:rPr>
          <w:w w:val="80"/>
          <w:sz w:val="16"/>
        </w:rPr>
        <w:t>56(1990): 1363-1366.</w:t>
      </w:r>
    </w:p>
    <w:p w14:paraId="30A0D8E5" w14:textId="77777777" w:rsidR="0092721B" w:rsidRDefault="00D22738">
      <w:pPr>
        <w:pStyle w:val="a5"/>
        <w:numPr>
          <w:ilvl w:val="0"/>
          <w:numId w:val="1"/>
        </w:numPr>
        <w:tabs>
          <w:tab w:val="left" w:pos="414"/>
        </w:tabs>
        <w:spacing w:before="114" w:line="249" w:lineRule="auto"/>
        <w:ind w:right="125"/>
        <w:jc w:val="both"/>
        <w:rPr>
          <w:sz w:val="16"/>
        </w:rPr>
      </w:pPr>
      <w:r>
        <w:rPr>
          <w:w w:val="85"/>
          <w:sz w:val="16"/>
        </w:rPr>
        <w:t xml:space="preserve">Sun, Chunyun, Long Chen, Ji Yang and Chunxia Luo, et al. "SARS-CoV-2 and </w:t>
      </w:r>
      <w:r>
        <w:rPr>
          <w:w w:val="80"/>
          <w:sz w:val="16"/>
        </w:rPr>
        <w:t>SARS-CoV Spike-RBD Structure and Receptor Binding Comparison and Potential Implications on Neutralizing Antibody and Vaccine Development".</w:t>
      </w:r>
      <w:r>
        <w:rPr>
          <w:i/>
          <w:w w:val="80"/>
          <w:sz w:val="16"/>
        </w:rPr>
        <w:t xml:space="preserve">Biorxiv </w:t>
      </w:r>
      <w:r>
        <w:rPr>
          <w:w w:val="80"/>
          <w:sz w:val="16"/>
        </w:rPr>
        <w:t>(2020).</w:t>
      </w:r>
    </w:p>
    <w:p w14:paraId="25AD8BE1" w14:textId="77777777" w:rsidR="0092721B" w:rsidRDefault="00D22738">
      <w:pPr>
        <w:pStyle w:val="a5"/>
        <w:numPr>
          <w:ilvl w:val="0"/>
          <w:numId w:val="1"/>
        </w:numPr>
        <w:tabs>
          <w:tab w:val="left" w:pos="414"/>
        </w:tabs>
        <w:spacing w:before="116"/>
        <w:ind w:right="0"/>
        <w:rPr>
          <w:sz w:val="16"/>
        </w:rPr>
      </w:pPr>
      <w:r>
        <w:rPr>
          <w:w w:val="90"/>
          <w:sz w:val="16"/>
        </w:rPr>
        <w:t>https://clinicaltrials.gov/ct2/show/NCT04343742</w:t>
      </w:r>
    </w:p>
    <w:p w14:paraId="0DDC038B" w14:textId="77777777" w:rsidR="0092721B" w:rsidRDefault="00D22738">
      <w:pPr>
        <w:pStyle w:val="a5"/>
        <w:numPr>
          <w:ilvl w:val="0"/>
          <w:numId w:val="1"/>
        </w:numPr>
        <w:tabs>
          <w:tab w:val="left" w:pos="414"/>
        </w:tabs>
        <w:spacing w:before="121"/>
        <w:ind w:right="0"/>
        <w:rPr>
          <w:sz w:val="16"/>
        </w:rPr>
      </w:pPr>
      <w:r>
        <w:rPr>
          <w:w w:val="90"/>
          <w:sz w:val="16"/>
        </w:rPr>
        <w:t>https://clinicaltrials.gov/ct2/show/NCT04409873</w:t>
      </w:r>
    </w:p>
    <w:p w14:paraId="4C80A5F1" w14:textId="77777777" w:rsidR="0092721B" w:rsidRDefault="00D22738">
      <w:pPr>
        <w:pStyle w:val="a5"/>
        <w:numPr>
          <w:ilvl w:val="0"/>
          <w:numId w:val="1"/>
        </w:numPr>
        <w:tabs>
          <w:tab w:val="left" w:pos="414"/>
        </w:tabs>
        <w:spacing w:before="122"/>
        <w:ind w:right="0"/>
        <w:rPr>
          <w:sz w:val="16"/>
        </w:rPr>
      </w:pPr>
      <w:r>
        <w:rPr>
          <w:w w:val="90"/>
          <w:sz w:val="16"/>
        </w:rPr>
        <w:t>https://clinicaltrials.gov/ct2/show/NCT04621149</w:t>
      </w:r>
    </w:p>
    <w:p w14:paraId="7E6ADC19" w14:textId="77777777" w:rsidR="0092721B" w:rsidRDefault="00D22738">
      <w:pPr>
        <w:pStyle w:val="a5"/>
        <w:numPr>
          <w:ilvl w:val="0"/>
          <w:numId w:val="1"/>
        </w:numPr>
        <w:tabs>
          <w:tab w:val="left" w:pos="414"/>
        </w:tabs>
        <w:spacing w:before="121" w:line="249" w:lineRule="auto"/>
        <w:jc w:val="both"/>
        <w:rPr>
          <w:sz w:val="16"/>
        </w:rPr>
      </w:pPr>
      <w:r>
        <w:rPr>
          <w:w w:val="85"/>
          <w:sz w:val="16"/>
        </w:rPr>
        <w:t>Daniel, F Bernard, Lyman W Condie, Merrel Robinson, and Judy A Stober, et al. "Comparative Subchronic Toxicity Studies of Three Disinfectants".</w:t>
      </w:r>
      <w:r>
        <w:rPr>
          <w:i/>
          <w:w w:val="85"/>
          <w:sz w:val="16"/>
        </w:rPr>
        <w:t xml:space="preserve">J Am Water </w:t>
      </w:r>
      <w:r>
        <w:rPr>
          <w:i/>
          <w:w w:val="90"/>
          <w:sz w:val="16"/>
        </w:rPr>
        <w:t xml:space="preserve">Works Assoc </w:t>
      </w:r>
      <w:r>
        <w:rPr>
          <w:w w:val="90"/>
          <w:sz w:val="16"/>
        </w:rPr>
        <w:t>82(1990): 61-69.</w:t>
      </w:r>
    </w:p>
    <w:p w14:paraId="648AAB35" w14:textId="77777777" w:rsidR="0092721B" w:rsidRDefault="00D22738">
      <w:pPr>
        <w:pStyle w:val="a5"/>
        <w:numPr>
          <w:ilvl w:val="0"/>
          <w:numId w:val="1"/>
        </w:numPr>
        <w:tabs>
          <w:tab w:val="left" w:pos="414"/>
        </w:tabs>
        <w:spacing w:before="116"/>
        <w:ind w:right="0"/>
        <w:rPr>
          <w:sz w:val="16"/>
        </w:rPr>
      </w:pPr>
      <w:r>
        <w:rPr>
          <w:w w:val="80"/>
          <w:sz w:val="16"/>
        </w:rPr>
        <w:t>米国保健社会福祉省、DHSS、INH、米国</w:t>
      </w:r>
    </w:p>
    <w:p w14:paraId="36D70179" w14:textId="77777777" w:rsidR="0092721B" w:rsidRDefault="00D22738">
      <w:pPr>
        <w:pStyle w:val="a5"/>
        <w:numPr>
          <w:ilvl w:val="0"/>
          <w:numId w:val="1"/>
        </w:numPr>
        <w:tabs>
          <w:tab w:val="left" w:pos="414"/>
        </w:tabs>
        <w:spacing w:before="121"/>
        <w:ind w:right="0"/>
        <w:rPr>
          <w:sz w:val="16"/>
        </w:rPr>
      </w:pPr>
      <w:r>
        <w:rPr>
          <w:w w:val="80"/>
          <w:sz w:val="16"/>
          <w:lang w:eastAsia="ja-JP"/>
        </w:rPr>
        <w:t>DeZuane, John.</w:t>
      </w:r>
      <w:r>
        <w:rPr>
          <w:i/>
          <w:w w:val="80"/>
          <w:sz w:val="16"/>
          <w:lang w:eastAsia="ja-JP"/>
        </w:rPr>
        <w:t>飲料水の品質に関するハンドブック</w:t>
      </w:r>
      <w:r>
        <w:rPr>
          <w:w w:val="80"/>
          <w:sz w:val="16"/>
          <w:lang w:eastAsia="ja-JP"/>
        </w:rPr>
        <w:t>。</w:t>
      </w:r>
      <w:r>
        <w:rPr>
          <w:w w:val="80"/>
          <w:sz w:val="16"/>
        </w:rPr>
        <w:t xml:space="preserve">John Wiley &amp; </w:t>
      </w:r>
      <w:r>
        <w:rPr>
          <w:spacing w:val="9"/>
          <w:w w:val="80"/>
          <w:sz w:val="16"/>
        </w:rPr>
        <w:t>Sons</w:t>
      </w:r>
      <w:r>
        <w:rPr>
          <w:w w:val="80"/>
          <w:sz w:val="16"/>
        </w:rPr>
        <w:t xml:space="preserve">, </w:t>
      </w:r>
      <w:r>
        <w:rPr>
          <w:spacing w:val="9"/>
          <w:w w:val="80"/>
          <w:sz w:val="16"/>
        </w:rPr>
        <w:t>1997</w:t>
      </w:r>
      <w:r>
        <w:rPr>
          <w:w w:val="80"/>
          <w:sz w:val="16"/>
        </w:rPr>
        <w:t>.</w:t>
      </w:r>
    </w:p>
    <w:p w14:paraId="7160440A" w14:textId="77777777" w:rsidR="0092721B" w:rsidRDefault="00D22738">
      <w:pPr>
        <w:pStyle w:val="a5"/>
        <w:numPr>
          <w:ilvl w:val="0"/>
          <w:numId w:val="1"/>
        </w:numPr>
        <w:tabs>
          <w:tab w:val="left" w:pos="414"/>
        </w:tabs>
        <w:spacing w:before="122"/>
        <w:ind w:right="0"/>
        <w:rPr>
          <w:sz w:val="16"/>
          <w:lang w:eastAsia="ja-JP"/>
        </w:rPr>
      </w:pPr>
      <w:r>
        <w:rPr>
          <w:w w:val="85"/>
          <w:sz w:val="16"/>
        </w:rPr>
        <w:t>米国食品医薬品局（Food and Drug Administration）。</w:t>
      </w:r>
      <w:r>
        <w:rPr>
          <w:w w:val="85"/>
          <w:sz w:val="16"/>
          <w:lang w:eastAsia="ja-JP"/>
        </w:rPr>
        <w:t>食品添加物のステータス、特定用途向け添加物</w:t>
      </w:r>
    </w:p>
    <w:p w14:paraId="151F1F9C" w14:textId="77777777" w:rsidR="0092721B" w:rsidRDefault="00D22738">
      <w:pPr>
        <w:spacing w:before="8"/>
        <w:ind w:left="413"/>
        <w:rPr>
          <w:sz w:val="16"/>
        </w:rPr>
      </w:pPr>
      <w:r>
        <w:rPr>
          <w:w w:val="80"/>
          <w:sz w:val="16"/>
        </w:rPr>
        <w:t>173.300 二酸化塩素、2020年</w:t>
      </w:r>
    </w:p>
    <w:p w14:paraId="660C4D68" w14:textId="77777777" w:rsidR="0092721B" w:rsidRDefault="00D22738">
      <w:pPr>
        <w:pStyle w:val="a5"/>
        <w:numPr>
          <w:ilvl w:val="0"/>
          <w:numId w:val="1"/>
        </w:numPr>
        <w:tabs>
          <w:tab w:val="left" w:pos="414"/>
        </w:tabs>
        <w:spacing w:before="110" w:line="249" w:lineRule="auto"/>
        <w:jc w:val="both"/>
        <w:rPr>
          <w:sz w:val="16"/>
        </w:rPr>
      </w:pPr>
      <w:r>
        <w:rPr>
          <w:w w:val="85"/>
          <w:sz w:val="16"/>
        </w:rPr>
        <w:t xml:space="preserve">Guo, Yan-Rong, Qing-Dong Cao, Zhong-Si Hong and Yuan-Yang Tan, et al. "The Origin, Transmission and Clinical Therapies on Coronavirus Disease 2019 </w:t>
      </w:r>
      <w:r>
        <w:rPr>
          <w:w w:val="80"/>
          <w:sz w:val="16"/>
        </w:rPr>
        <w:t>(COVID-19) Outbreak-An Update on the Status".</w:t>
      </w:r>
      <w:r>
        <w:rPr>
          <w:i/>
          <w:w w:val="80"/>
          <w:sz w:val="16"/>
        </w:rPr>
        <w:t xml:space="preserve">Military Med Res </w:t>
      </w:r>
      <w:r>
        <w:rPr>
          <w:w w:val="80"/>
          <w:sz w:val="16"/>
        </w:rPr>
        <w:t>7(2020): 1-10.</w:t>
      </w:r>
    </w:p>
    <w:p w14:paraId="01026F4B" w14:textId="77777777" w:rsidR="0092721B" w:rsidRDefault="00D22738">
      <w:pPr>
        <w:pStyle w:val="a5"/>
        <w:numPr>
          <w:ilvl w:val="0"/>
          <w:numId w:val="1"/>
        </w:numPr>
        <w:tabs>
          <w:tab w:val="left" w:pos="414"/>
        </w:tabs>
        <w:spacing w:line="249" w:lineRule="auto"/>
        <w:ind w:right="125"/>
        <w:jc w:val="both"/>
        <w:rPr>
          <w:sz w:val="16"/>
        </w:rPr>
      </w:pPr>
      <w:r>
        <w:rPr>
          <w:w w:val="80"/>
          <w:sz w:val="16"/>
        </w:rPr>
        <w:t>Haag, HB."The Effect on Rats of Chronic Administration of Sodium Chlorite and Chlorine Dioxide in the Drinking Water" （亜塩素酸ナトリウムと二酸化塩素の慢性投与によるラットへの影響）。</w:t>
      </w:r>
      <w:r>
        <w:rPr>
          <w:i/>
          <w:w w:val="80"/>
          <w:sz w:val="16"/>
        </w:rPr>
        <w:t xml:space="preserve">Report to the Mathieson Alkali Works from </w:t>
      </w:r>
      <w:r>
        <w:rPr>
          <w:i/>
          <w:w w:val="85"/>
          <w:sz w:val="16"/>
        </w:rPr>
        <w:t xml:space="preserve">the Medical College of Virginia </w:t>
      </w:r>
      <w:r>
        <w:rPr>
          <w:w w:val="85"/>
          <w:sz w:val="16"/>
        </w:rPr>
        <w:t>(1949).</w:t>
      </w:r>
    </w:p>
    <w:p w14:paraId="557441EC" w14:textId="77777777" w:rsidR="0092721B" w:rsidRDefault="00D22738">
      <w:pPr>
        <w:pStyle w:val="a5"/>
        <w:numPr>
          <w:ilvl w:val="0"/>
          <w:numId w:val="1"/>
        </w:numPr>
        <w:tabs>
          <w:tab w:val="left" w:pos="414"/>
        </w:tabs>
        <w:spacing w:line="249" w:lineRule="auto"/>
        <w:jc w:val="both"/>
        <w:rPr>
          <w:sz w:val="16"/>
        </w:rPr>
      </w:pPr>
      <w:r>
        <w:rPr>
          <w:w w:val="80"/>
          <w:sz w:val="16"/>
        </w:rPr>
        <w:t xml:space="preserve">Heffernan, WP, C Guion and RJ Bull."Oxidative Damage to the Erythrocyte Induced by Sodium Chlorite, </w:t>
      </w:r>
      <w:r>
        <w:rPr>
          <w:i/>
          <w:w w:val="80"/>
          <w:sz w:val="16"/>
        </w:rPr>
        <w:t>in vivo</w:t>
      </w:r>
      <w:r>
        <w:rPr>
          <w:w w:val="80"/>
          <w:sz w:val="16"/>
        </w:rPr>
        <w:t>"（亜塩素酸ナトリウムによる赤血球の酸化的損傷）。</w:t>
      </w:r>
      <w:r>
        <w:rPr>
          <w:i/>
          <w:w w:val="80"/>
          <w:sz w:val="16"/>
        </w:rPr>
        <w:t xml:space="preserve">J Environ Pathol Toxicol </w:t>
      </w:r>
      <w:r>
        <w:rPr>
          <w:w w:val="80"/>
          <w:sz w:val="16"/>
        </w:rPr>
        <w:t>2(1979): 1487-1499.</w:t>
      </w:r>
    </w:p>
    <w:p w14:paraId="6811E4FB" w14:textId="77777777" w:rsidR="0092721B" w:rsidRDefault="008834D1">
      <w:pPr>
        <w:pStyle w:val="a5"/>
        <w:numPr>
          <w:ilvl w:val="0"/>
          <w:numId w:val="1"/>
        </w:numPr>
        <w:tabs>
          <w:tab w:val="left" w:pos="414"/>
        </w:tabs>
        <w:spacing w:before="103"/>
        <w:ind w:right="0"/>
        <w:rPr>
          <w:sz w:val="16"/>
        </w:rPr>
      </w:pPr>
      <w:hyperlink r:id="rId36">
        <w:r w:rsidR="00D22738">
          <w:rPr>
            <w:w w:val="90"/>
            <w:sz w:val="16"/>
          </w:rPr>
          <w:t>https://www.vyphidroasesores.com/</w:t>
        </w:r>
      </w:hyperlink>
    </w:p>
    <w:p w14:paraId="118A6C38" w14:textId="77777777" w:rsidR="0092721B" w:rsidRDefault="00D22738">
      <w:pPr>
        <w:pStyle w:val="a5"/>
        <w:numPr>
          <w:ilvl w:val="0"/>
          <w:numId w:val="1"/>
        </w:numPr>
        <w:tabs>
          <w:tab w:val="left" w:pos="414"/>
        </w:tabs>
        <w:spacing w:before="110" w:line="249" w:lineRule="auto"/>
        <w:jc w:val="both"/>
        <w:rPr>
          <w:sz w:val="16"/>
        </w:rPr>
      </w:pPr>
      <w:r>
        <w:rPr>
          <w:w w:val="80"/>
          <w:sz w:val="16"/>
        </w:rPr>
        <w:t xml:space="preserve">Insignares- Carrione E, Bolano Gomez B, Kalcker Andreas."COVID-における二酸化塩素。19: Hypothesis about the Possible Mechanism of Molecular Action in </w:t>
      </w:r>
      <w:r>
        <w:rPr>
          <w:w w:val="85"/>
          <w:sz w:val="16"/>
        </w:rPr>
        <w:t>SARS-CoV-2."</w:t>
      </w:r>
      <w:r>
        <w:rPr>
          <w:i/>
          <w:w w:val="85"/>
          <w:sz w:val="16"/>
        </w:rPr>
        <w:t xml:space="preserve">J Mol Genet Med </w:t>
      </w:r>
      <w:r>
        <w:rPr>
          <w:w w:val="85"/>
          <w:sz w:val="16"/>
        </w:rPr>
        <w:t>14 (2020): 468.</w:t>
      </w:r>
    </w:p>
    <w:p w14:paraId="06665D90" w14:textId="77777777" w:rsidR="0092721B" w:rsidRDefault="0092721B">
      <w:pPr>
        <w:spacing w:line="249" w:lineRule="auto"/>
        <w:jc w:val="both"/>
        <w:rPr>
          <w:sz w:val="16"/>
        </w:rPr>
        <w:sectPr w:rsidR="0092721B">
          <w:type w:val="continuous"/>
          <w:pgSz w:w="11910" w:h="16840"/>
          <w:pgMar w:top="760" w:right="440" w:bottom="280" w:left="720" w:header="814" w:footer="686" w:gutter="0"/>
          <w:cols w:num="2" w:space="720" w:equalWidth="0">
            <w:col w:w="5246" w:space="168"/>
            <w:col w:w="5336"/>
          </w:cols>
        </w:sectPr>
      </w:pPr>
    </w:p>
    <w:p w14:paraId="20202027" w14:textId="77777777" w:rsidR="0092721B" w:rsidRDefault="0092721B">
      <w:pPr>
        <w:pStyle w:val="a3"/>
        <w:spacing w:before="4"/>
        <w:ind w:left="0" w:firstLine="0"/>
        <w:jc w:val="left"/>
        <w:rPr>
          <w:sz w:val="14"/>
        </w:rPr>
      </w:pPr>
    </w:p>
    <w:p w14:paraId="0B7E2C8C" w14:textId="77777777" w:rsidR="0092721B" w:rsidRDefault="0092721B">
      <w:pPr>
        <w:rPr>
          <w:sz w:val="14"/>
        </w:rPr>
        <w:sectPr w:rsidR="0092721B">
          <w:pgSz w:w="11910" w:h="16840"/>
          <w:pgMar w:top="1080" w:right="440" w:bottom="880" w:left="720" w:header="814" w:footer="686" w:gutter="0"/>
          <w:cols w:space="720"/>
        </w:sectPr>
      </w:pPr>
    </w:p>
    <w:p w14:paraId="027FA911" w14:textId="77777777" w:rsidR="0092721B" w:rsidRDefault="00D22738">
      <w:pPr>
        <w:pStyle w:val="a5"/>
        <w:numPr>
          <w:ilvl w:val="0"/>
          <w:numId w:val="1"/>
        </w:numPr>
        <w:tabs>
          <w:tab w:val="left" w:pos="414"/>
        </w:tabs>
        <w:spacing w:before="103" w:line="249" w:lineRule="auto"/>
        <w:ind w:right="38"/>
        <w:jc w:val="both"/>
        <w:rPr>
          <w:sz w:val="16"/>
        </w:rPr>
      </w:pPr>
      <w:r>
        <w:rPr>
          <w:w w:val="85"/>
          <w:sz w:val="16"/>
        </w:rPr>
        <w:t xml:space="preserve">Jin, Min, Jinyang Shan, Zhaoli Chen, Xuan Guo, et al. "Chlorine Dioxide </w:t>
      </w:r>
      <w:r>
        <w:rPr>
          <w:w w:val="80"/>
          <w:sz w:val="16"/>
        </w:rPr>
        <w:t>Inactivation of Enterovirus 71 in Water and its Impact on Genomic Targets."</w:t>
      </w:r>
      <w:r>
        <w:rPr>
          <w:i/>
          <w:w w:val="80"/>
          <w:sz w:val="16"/>
        </w:rPr>
        <w:t xml:space="preserve">Environ Sci Technol </w:t>
      </w:r>
      <w:r>
        <w:rPr>
          <w:w w:val="80"/>
          <w:sz w:val="16"/>
        </w:rPr>
        <w:t>47(2013): 4590-4597.</w:t>
      </w:r>
    </w:p>
    <w:p w14:paraId="7685991C" w14:textId="77777777" w:rsidR="0092721B" w:rsidRDefault="00D22738">
      <w:pPr>
        <w:pStyle w:val="a5"/>
        <w:numPr>
          <w:ilvl w:val="0"/>
          <w:numId w:val="1"/>
        </w:numPr>
        <w:tabs>
          <w:tab w:val="left" w:pos="414"/>
        </w:tabs>
        <w:spacing w:line="249" w:lineRule="auto"/>
        <w:ind w:right="38"/>
        <w:jc w:val="both"/>
        <w:rPr>
          <w:sz w:val="16"/>
        </w:rPr>
      </w:pPr>
      <w:r>
        <w:rPr>
          <w:w w:val="80"/>
          <w:sz w:val="16"/>
        </w:rPr>
        <w:t>Lan, Jun, Jiwan Ge, Jinfang Yu, Sisi Shan, et al. "Structure of the SARS-CoV-2 Spike Receptor-Binding Domain Bound to the ACE2 Receptor".</w:t>
      </w:r>
      <w:r>
        <w:rPr>
          <w:i/>
          <w:w w:val="80"/>
          <w:sz w:val="16"/>
        </w:rPr>
        <w:t xml:space="preserve">Nature </w:t>
      </w:r>
      <w:r>
        <w:rPr>
          <w:w w:val="80"/>
          <w:sz w:val="16"/>
        </w:rPr>
        <w:t xml:space="preserve">581(2020): </w:t>
      </w:r>
      <w:r>
        <w:rPr>
          <w:w w:val="90"/>
          <w:sz w:val="16"/>
        </w:rPr>
        <w:t>215-220.</w:t>
      </w:r>
    </w:p>
    <w:p w14:paraId="7E4FC041" w14:textId="77777777" w:rsidR="0092721B" w:rsidRDefault="00D22738">
      <w:pPr>
        <w:pStyle w:val="a5"/>
        <w:numPr>
          <w:ilvl w:val="0"/>
          <w:numId w:val="1"/>
        </w:numPr>
        <w:tabs>
          <w:tab w:val="left" w:pos="414"/>
        </w:tabs>
        <w:spacing w:line="249" w:lineRule="auto"/>
        <w:ind w:right="38"/>
        <w:jc w:val="both"/>
        <w:rPr>
          <w:sz w:val="16"/>
        </w:rPr>
      </w:pPr>
      <w:r>
        <w:rPr>
          <w:w w:val="85"/>
          <w:sz w:val="16"/>
        </w:rPr>
        <w:t>Junli, Huang, Wang Li, Ren Nenqi and Liu Xue Li, et al. "Disinfection Effect of Chlorine Dioxide on Viruses, Algae and Animal Planktons in Water."</w:t>
      </w:r>
      <w:r>
        <w:rPr>
          <w:i/>
          <w:w w:val="85"/>
          <w:sz w:val="16"/>
        </w:rPr>
        <w:t xml:space="preserve">Water Res </w:t>
      </w:r>
      <w:r>
        <w:rPr>
          <w:w w:val="90"/>
          <w:sz w:val="16"/>
        </w:rPr>
        <w:t>31(1997): 455-460.</w:t>
      </w:r>
    </w:p>
    <w:p w14:paraId="548F82E9" w14:textId="77777777" w:rsidR="0092721B" w:rsidRDefault="00D22738">
      <w:pPr>
        <w:pStyle w:val="a5"/>
        <w:numPr>
          <w:ilvl w:val="0"/>
          <w:numId w:val="1"/>
        </w:numPr>
        <w:tabs>
          <w:tab w:val="left" w:pos="414"/>
        </w:tabs>
        <w:ind w:right="0"/>
        <w:rPr>
          <w:sz w:val="16"/>
        </w:rPr>
      </w:pPr>
      <w:r>
        <w:rPr>
          <w:w w:val="80"/>
          <w:sz w:val="16"/>
          <w:lang w:eastAsia="ja-JP"/>
        </w:rPr>
        <w:t>カルカー、アンドレアス。</w:t>
      </w:r>
      <w:r>
        <w:rPr>
          <w:w w:val="80"/>
          <w:sz w:val="16"/>
        </w:rPr>
        <w:t>禁断の健康。Voedia, 2016.</w:t>
      </w:r>
    </w:p>
    <w:p w14:paraId="209E03E1" w14:textId="77777777" w:rsidR="0092721B" w:rsidRDefault="00D22738">
      <w:pPr>
        <w:pStyle w:val="a5"/>
        <w:numPr>
          <w:ilvl w:val="0"/>
          <w:numId w:val="1"/>
        </w:numPr>
        <w:tabs>
          <w:tab w:val="left" w:pos="414"/>
        </w:tabs>
        <w:spacing w:before="111" w:line="249" w:lineRule="auto"/>
        <w:ind w:right="38"/>
        <w:jc w:val="both"/>
        <w:rPr>
          <w:sz w:val="16"/>
        </w:rPr>
      </w:pPr>
      <w:r>
        <w:rPr>
          <w:w w:val="85"/>
          <w:sz w:val="16"/>
        </w:rPr>
        <w:t>Kály-Kullai, K, M Wittmann, Z Noszticzius, László Rosivall."Can Chlorine Dioxide Prevent the Spreading of Coronavirus or other Viral Infections?医学的仮説"</w:t>
      </w:r>
      <w:r>
        <w:rPr>
          <w:i/>
          <w:w w:val="85"/>
          <w:sz w:val="16"/>
        </w:rPr>
        <w:t xml:space="preserve">Physiol Int </w:t>
      </w:r>
      <w:r>
        <w:rPr>
          <w:w w:val="85"/>
          <w:sz w:val="16"/>
        </w:rPr>
        <w:t>107(2020): 1-11.</w:t>
      </w:r>
    </w:p>
    <w:p w14:paraId="6907A368" w14:textId="77777777" w:rsidR="0092721B" w:rsidRDefault="00D22738">
      <w:pPr>
        <w:pStyle w:val="a5"/>
        <w:numPr>
          <w:ilvl w:val="0"/>
          <w:numId w:val="1"/>
        </w:numPr>
        <w:tabs>
          <w:tab w:val="left" w:pos="414"/>
        </w:tabs>
        <w:spacing w:line="249" w:lineRule="auto"/>
        <w:ind w:right="38"/>
        <w:jc w:val="both"/>
        <w:rPr>
          <w:sz w:val="16"/>
        </w:rPr>
      </w:pPr>
      <w:r>
        <w:rPr>
          <w:w w:val="85"/>
          <w:sz w:val="16"/>
        </w:rPr>
        <w:t xml:space="preserve">Letko, Michael, Andrea Marzi and Vincent Munster."Functional Assessment of </w:t>
      </w:r>
      <w:r>
        <w:rPr>
          <w:w w:val="80"/>
          <w:sz w:val="16"/>
        </w:rPr>
        <w:t>Cell Entry and Receptor Usage for SARS-CoV-2 and Other Lineage B Beta Corona Virus</w:t>
      </w:r>
      <w:r>
        <w:rPr>
          <w:w w:val="85"/>
          <w:sz w:val="16"/>
        </w:rPr>
        <w:t>".</w:t>
      </w:r>
      <w:r>
        <w:rPr>
          <w:i/>
          <w:w w:val="85"/>
          <w:sz w:val="16"/>
        </w:rPr>
        <w:t xml:space="preserve">Nature Microbiol </w:t>
      </w:r>
      <w:r>
        <w:rPr>
          <w:w w:val="85"/>
          <w:sz w:val="16"/>
        </w:rPr>
        <w:t>5(2020): 562-569.</w:t>
      </w:r>
    </w:p>
    <w:p w14:paraId="6514B05C" w14:textId="77777777" w:rsidR="0092721B" w:rsidRDefault="00D22738">
      <w:pPr>
        <w:pStyle w:val="a5"/>
        <w:numPr>
          <w:ilvl w:val="0"/>
          <w:numId w:val="1"/>
        </w:numPr>
        <w:tabs>
          <w:tab w:val="left" w:pos="414"/>
        </w:tabs>
        <w:spacing w:line="249" w:lineRule="auto"/>
        <w:ind w:right="38"/>
        <w:jc w:val="both"/>
        <w:rPr>
          <w:sz w:val="16"/>
        </w:rPr>
      </w:pPr>
      <w:r>
        <w:rPr>
          <w:w w:val="90"/>
          <w:sz w:val="16"/>
        </w:rPr>
        <w:t>Li, Wenhui, Michael J Moore, Natalya Vasilieva, and Jianhua Sui, et al</w:t>
      </w:r>
      <w:r>
        <w:rPr>
          <w:w w:val="85"/>
          <w:sz w:val="16"/>
        </w:rPr>
        <w:t>. "Angiotensin-Converting Enzyme 2 is a Functional Receptor for the SARS Coronavirus" （アンジオテンシン変換酵素2はSARSコロナウイルスの機能的受容体である）。</w:t>
      </w:r>
      <w:r>
        <w:rPr>
          <w:i/>
          <w:w w:val="85"/>
          <w:sz w:val="16"/>
        </w:rPr>
        <w:t xml:space="preserve">Nature </w:t>
      </w:r>
      <w:r>
        <w:rPr>
          <w:w w:val="85"/>
          <w:sz w:val="16"/>
        </w:rPr>
        <w:t>426(2003): 450-454.</w:t>
      </w:r>
    </w:p>
    <w:p w14:paraId="65BEA29F" w14:textId="77777777" w:rsidR="0092721B" w:rsidRDefault="00D22738">
      <w:pPr>
        <w:pStyle w:val="a5"/>
        <w:numPr>
          <w:ilvl w:val="0"/>
          <w:numId w:val="1"/>
        </w:numPr>
        <w:tabs>
          <w:tab w:val="left" w:pos="414"/>
        </w:tabs>
        <w:spacing w:line="249" w:lineRule="auto"/>
        <w:ind w:right="38"/>
        <w:jc w:val="both"/>
        <w:rPr>
          <w:sz w:val="16"/>
        </w:rPr>
      </w:pPr>
      <w:r>
        <w:rPr>
          <w:w w:val="80"/>
          <w:sz w:val="16"/>
        </w:rPr>
        <w:t>Li, Jun Wen, Zhong Tao Xin, Xin Wei Wang and Jin Lai Zheng, et al. "Mechanisms of Inactivation of Hepatitis A Virus in Water by Chlorine Dioxide."</w:t>
      </w:r>
      <w:r>
        <w:rPr>
          <w:i/>
          <w:w w:val="80"/>
          <w:sz w:val="16"/>
        </w:rPr>
        <w:t xml:space="preserve">Water Res </w:t>
      </w:r>
      <w:r>
        <w:rPr>
          <w:w w:val="80"/>
          <w:sz w:val="16"/>
        </w:rPr>
        <w:t xml:space="preserve">38(2004): </w:t>
      </w:r>
      <w:r>
        <w:rPr>
          <w:w w:val="90"/>
          <w:sz w:val="16"/>
        </w:rPr>
        <w:t>1514-1519.</w:t>
      </w:r>
    </w:p>
    <w:p w14:paraId="5D718880" w14:textId="77777777" w:rsidR="0092721B" w:rsidRDefault="00D22738">
      <w:pPr>
        <w:pStyle w:val="a5"/>
        <w:numPr>
          <w:ilvl w:val="0"/>
          <w:numId w:val="1"/>
        </w:numPr>
        <w:tabs>
          <w:tab w:val="left" w:pos="414"/>
        </w:tabs>
        <w:spacing w:before="112" w:line="261" w:lineRule="auto"/>
        <w:ind w:right="38"/>
        <w:jc w:val="both"/>
        <w:rPr>
          <w:sz w:val="16"/>
        </w:rPr>
      </w:pPr>
      <w:r>
        <w:rPr>
          <w:spacing w:val="-1"/>
          <w:w w:val="85"/>
          <w:sz w:val="16"/>
        </w:rPr>
        <w:t xml:space="preserve">Lin, Ja-Liang and Paik-Seong Lim."Acute </w:t>
      </w:r>
      <w:r>
        <w:rPr>
          <w:w w:val="85"/>
          <w:sz w:val="16"/>
        </w:rPr>
        <w:t>Sodium Chlorite Poisoning associated with Renal Failure（急性亜塩素酸ナトリウム中毒と腎不全）"</w:t>
      </w:r>
      <w:r>
        <w:rPr>
          <w:i/>
          <w:w w:val="85"/>
          <w:sz w:val="16"/>
        </w:rPr>
        <w:t xml:space="preserve">Renal Failure </w:t>
      </w:r>
      <w:r>
        <w:rPr>
          <w:w w:val="85"/>
          <w:sz w:val="16"/>
        </w:rPr>
        <w:t>15(1993): 645-648.</w:t>
      </w:r>
    </w:p>
    <w:p w14:paraId="678E6F10" w14:textId="77777777" w:rsidR="0092721B" w:rsidRDefault="00D22738">
      <w:pPr>
        <w:pStyle w:val="a5"/>
        <w:numPr>
          <w:ilvl w:val="0"/>
          <w:numId w:val="1"/>
        </w:numPr>
        <w:tabs>
          <w:tab w:val="left" w:pos="414"/>
        </w:tabs>
        <w:spacing w:before="101" w:line="261" w:lineRule="auto"/>
        <w:ind w:right="38"/>
        <w:jc w:val="both"/>
        <w:rPr>
          <w:sz w:val="16"/>
        </w:rPr>
      </w:pPr>
      <w:r>
        <w:rPr>
          <w:w w:val="85"/>
          <w:sz w:val="16"/>
        </w:rPr>
        <w:t xml:space="preserve">Zhang, Linlin, Daizong Lin, Xinyuanyuan Sun and Katharina Rox, et al. "X-ray </w:t>
      </w:r>
      <w:r>
        <w:rPr>
          <w:w w:val="80"/>
          <w:sz w:val="16"/>
        </w:rPr>
        <w:t xml:space="preserve">Structure of Main Protease of the Novel Coronavirus SARS-Cov-2 Enables Design </w:t>
      </w:r>
      <w:r>
        <w:rPr>
          <w:w w:val="85"/>
          <w:sz w:val="16"/>
        </w:rPr>
        <w:t>of α-Ketoamide Inhibitors."</w:t>
      </w:r>
      <w:r>
        <w:rPr>
          <w:i/>
          <w:w w:val="85"/>
          <w:sz w:val="16"/>
        </w:rPr>
        <w:t xml:space="preserve">BioRxiv </w:t>
      </w:r>
      <w:r>
        <w:rPr>
          <w:w w:val="85"/>
          <w:sz w:val="16"/>
        </w:rPr>
        <w:t>(2020).</w:t>
      </w:r>
    </w:p>
    <w:p w14:paraId="5E47AD79" w14:textId="77777777" w:rsidR="0092721B" w:rsidRDefault="00D22738">
      <w:pPr>
        <w:pStyle w:val="a5"/>
        <w:numPr>
          <w:ilvl w:val="0"/>
          <w:numId w:val="1"/>
        </w:numPr>
        <w:tabs>
          <w:tab w:val="left" w:pos="414"/>
        </w:tabs>
        <w:spacing w:before="100" w:line="261" w:lineRule="auto"/>
        <w:ind w:right="38"/>
        <w:jc w:val="both"/>
        <w:rPr>
          <w:sz w:val="16"/>
        </w:rPr>
      </w:pPr>
      <w:r>
        <w:rPr>
          <w:w w:val="85"/>
          <w:sz w:val="16"/>
        </w:rPr>
        <w:t>Lubbers, Judith R, Sudha Chauan and Joseph R Bianchine."Controlled Clinical Evaluations of Chlorine Dioxide, Chlorite and Chlorate in Man".</w:t>
      </w:r>
      <w:r>
        <w:rPr>
          <w:i/>
          <w:w w:val="85"/>
          <w:sz w:val="16"/>
        </w:rPr>
        <w:t xml:space="preserve">Environ Health </w:t>
      </w:r>
      <w:r>
        <w:rPr>
          <w:i/>
          <w:w w:val="90"/>
          <w:sz w:val="16"/>
        </w:rPr>
        <w:t xml:space="preserve">Persp </w:t>
      </w:r>
      <w:r>
        <w:rPr>
          <w:w w:val="90"/>
          <w:sz w:val="16"/>
        </w:rPr>
        <w:t>46(1982): 57-62.</w:t>
      </w:r>
    </w:p>
    <w:p w14:paraId="7ED6F40A" w14:textId="77777777" w:rsidR="0092721B" w:rsidRDefault="00D22738">
      <w:pPr>
        <w:pStyle w:val="a5"/>
        <w:numPr>
          <w:ilvl w:val="0"/>
          <w:numId w:val="1"/>
        </w:numPr>
        <w:tabs>
          <w:tab w:val="left" w:pos="414"/>
        </w:tabs>
        <w:spacing w:before="101" w:line="261" w:lineRule="auto"/>
        <w:ind w:right="38"/>
        <w:jc w:val="both"/>
        <w:rPr>
          <w:sz w:val="16"/>
        </w:rPr>
      </w:pPr>
      <w:r>
        <w:rPr>
          <w:w w:val="80"/>
          <w:sz w:val="16"/>
        </w:rPr>
        <w:t>Manterola, Carlos and Tamara Otzen."Critical Analysis of Biomedical Literature（生物医学文献の批判的分析）"</w:t>
      </w:r>
      <w:r>
        <w:rPr>
          <w:i/>
          <w:w w:val="80"/>
          <w:sz w:val="16"/>
        </w:rPr>
        <w:t xml:space="preserve">Int </w:t>
      </w:r>
      <w:r>
        <w:rPr>
          <w:i/>
          <w:w w:val="90"/>
          <w:sz w:val="16"/>
        </w:rPr>
        <w:t xml:space="preserve">J Morphol </w:t>
      </w:r>
      <w:r>
        <w:rPr>
          <w:w w:val="90"/>
          <w:sz w:val="16"/>
        </w:rPr>
        <w:t>32(2014): 599-607.</w:t>
      </w:r>
    </w:p>
    <w:p w14:paraId="175D11DB" w14:textId="77777777" w:rsidR="0092721B" w:rsidRDefault="00D22738">
      <w:pPr>
        <w:pStyle w:val="a5"/>
        <w:numPr>
          <w:ilvl w:val="0"/>
          <w:numId w:val="1"/>
        </w:numPr>
        <w:tabs>
          <w:tab w:val="left" w:pos="414"/>
        </w:tabs>
        <w:spacing w:before="101" w:line="261" w:lineRule="auto"/>
        <w:ind w:right="38"/>
        <w:jc w:val="both"/>
        <w:rPr>
          <w:sz w:val="16"/>
        </w:rPr>
      </w:pPr>
      <w:r>
        <w:rPr>
          <w:w w:val="85"/>
          <w:sz w:val="16"/>
        </w:rPr>
        <w:t>Moore, Gary S, Edward J Calabrese, Salvatore R DiNardi and Robert W Tuthill."Potential Health Effects of Chlorine Dioxide as a Disinfectant in Potable Water Supplies".</w:t>
      </w:r>
      <w:r>
        <w:rPr>
          <w:i/>
          <w:w w:val="85"/>
          <w:sz w:val="16"/>
        </w:rPr>
        <w:t xml:space="preserve">Med Hypothes </w:t>
      </w:r>
      <w:r>
        <w:rPr>
          <w:w w:val="85"/>
          <w:sz w:val="16"/>
        </w:rPr>
        <w:t>4(1978): 481-496.</w:t>
      </w:r>
    </w:p>
    <w:p w14:paraId="6882B986" w14:textId="77777777" w:rsidR="0092721B" w:rsidRDefault="00D22738">
      <w:pPr>
        <w:pStyle w:val="a5"/>
        <w:numPr>
          <w:ilvl w:val="0"/>
          <w:numId w:val="1"/>
        </w:numPr>
        <w:tabs>
          <w:tab w:val="left" w:pos="414"/>
        </w:tabs>
        <w:spacing w:before="100" w:line="261" w:lineRule="auto"/>
        <w:ind w:right="38"/>
        <w:jc w:val="both"/>
        <w:rPr>
          <w:sz w:val="16"/>
        </w:rPr>
      </w:pPr>
      <w:r>
        <w:rPr>
          <w:w w:val="80"/>
          <w:sz w:val="16"/>
        </w:rPr>
        <w:t xml:space="preserve">Musil J, Kontek Z, Chalupa J and Schmidt P (1964) Toxicological Aspects Of </w:t>
      </w:r>
      <w:r>
        <w:rPr>
          <w:w w:val="80"/>
          <w:sz w:val="16"/>
          <w:vertAlign w:val="subscript"/>
        </w:rPr>
        <w:t xml:space="preserve">ClO2 </w:t>
      </w:r>
      <w:r>
        <w:rPr>
          <w:spacing w:val="-1"/>
          <w:w w:val="85"/>
          <w:sz w:val="16"/>
        </w:rPr>
        <w:t>Application for the Treatment of Water Containing Phenol.</w:t>
      </w:r>
      <w:r>
        <w:rPr>
          <w:w w:val="85"/>
          <w:sz w:val="16"/>
        </w:rPr>
        <w:t xml:space="preserve">Chem-Technol Praze </w:t>
      </w:r>
      <w:r>
        <w:rPr>
          <w:w w:val="90"/>
          <w:sz w:val="16"/>
        </w:rPr>
        <w:t>8: 327-345.</w:t>
      </w:r>
    </w:p>
    <w:p w14:paraId="7A144801" w14:textId="77777777" w:rsidR="0092721B" w:rsidRDefault="008834D1">
      <w:pPr>
        <w:pStyle w:val="a5"/>
        <w:numPr>
          <w:ilvl w:val="0"/>
          <w:numId w:val="1"/>
        </w:numPr>
        <w:tabs>
          <w:tab w:val="left" w:pos="414"/>
        </w:tabs>
        <w:spacing w:before="100"/>
        <w:ind w:right="0"/>
        <w:rPr>
          <w:sz w:val="16"/>
        </w:rPr>
      </w:pPr>
      <w:hyperlink r:id="rId37">
        <w:r w:rsidR="00D22738">
          <w:rPr>
            <w:w w:val="90"/>
            <w:sz w:val="16"/>
          </w:rPr>
          <w:t>https://www.cdc.gov/niosh/idlh/10049044.html</w:t>
        </w:r>
      </w:hyperlink>
    </w:p>
    <w:p w14:paraId="771B5801" w14:textId="77777777" w:rsidR="0092721B" w:rsidRDefault="00D22738">
      <w:pPr>
        <w:pStyle w:val="a5"/>
        <w:numPr>
          <w:ilvl w:val="0"/>
          <w:numId w:val="1"/>
        </w:numPr>
        <w:tabs>
          <w:tab w:val="left" w:pos="414"/>
        </w:tabs>
        <w:spacing w:before="118" w:line="261" w:lineRule="auto"/>
        <w:ind w:right="38"/>
        <w:jc w:val="both"/>
        <w:rPr>
          <w:sz w:val="16"/>
          <w:lang w:eastAsia="ja-JP"/>
        </w:rPr>
      </w:pPr>
      <w:r>
        <w:rPr>
          <w:w w:val="85"/>
          <w:sz w:val="16"/>
        </w:rPr>
        <w:t>米国国立衛生研究所（National Institutes of Health）。</w:t>
      </w:r>
      <w:r>
        <w:rPr>
          <w:w w:val="85"/>
          <w:sz w:val="16"/>
          <w:lang w:eastAsia="ja-JP"/>
        </w:rPr>
        <w:t>新しいコロナウイルスの構造が</w:t>
      </w:r>
      <w:r>
        <w:rPr>
          <w:w w:val="80"/>
          <w:sz w:val="16"/>
          <w:lang w:eastAsia="ja-JP"/>
        </w:rPr>
        <w:t>ワクチンや治療</w:t>
      </w:r>
      <w:r>
        <w:rPr>
          <w:w w:val="85"/>
          <w:sz w:val="16"/>
          <w:lang w:eastAsia="ja-JP"/>
        </w:rPr>
        <w:t>のターゲットを明らかにする</w:t>
      </w:r>
      <w:r>
        <w:rPr>
          <w:w w:val="80"/>
          <w:sz w:val="16"/>
          <w:lang w:eastAsia="ja-JP"/>
        </w:rPr>
        <w:t>、2020年。</w:t>
      </w:r>
    </w:p>
    <w:p w14:paraId="6F0C1220" w14:textId="77777777" w:rsidR="0092721B" w:rsidRDefault="00D22738">
      <w:pPr>
        <w:pStyle w:val="a5"/>
        <w:numPr>
          <w:ilvl w:val="0"/>
          <w:numId w:val="1"/>
        </w:numPr>
        <w:tabs>
          <w:tab w:val="left" w:pos="414"/>
        </w:tabs>
        <w:spacing w:before="101" w:line="261" w:lineRule="auto"/>
        <w:ind w:right="38"/>
        <w:jc w:val="both"/>
        <w:rPr>
          <w:sz w:val="16"/>
        </w:rPr>
      </w:pPr>
      <w:r>
        <w:rPr>
          <w:w w:val="85"/>
          <w:sz w:val="16"/>
        </w:rPr>
        <w:t xml:space="preserve">Noszticzius, Zoltán, Maria Wittmann, Kristóf Kály-Kullai, Zoltán Beregvári, et </w:t>
      </w:r>
      <w:r>
        <w:rPr>
          <w:spacing w:val="-1"/>
          <w:w w:val="85"/>
          <w:sz w:val="16"/>
        </w:rPr>
        <w:t xml:space="preserve">al. "Chlorine </w:t>
      </w:r>
      <w:r>
        <w:rPr>
          <w:w w:val="85"/>
          <w:sz w:val="16"/>
        </w:rPr>
        <w:t>dioxide is a Size-Selective Antimicrobial Agent.".</w:t>
      </w:r>
      <w:r>
        <w:rPr>
          <w:i/>
          <w:w w:val="85"/>
          <w:sz w:val="16"/>
        </w:rPr>
        <w:t xml:space="preserve">PloS one </w:t>
      </w:r>
      <w:r>
        <w:rPr>
          <w:w w:val="85"/>
          <w:sz w:val="16"/>
        </w:rPr>
        <w:t xml:space="preserve">8(2013): </w:t>
      </w:r>
      <w:r>
        <w:rPr>
          <w:w w:val="90"/>
          <w:sz w:val="16"/>
        </w:rPr>
        <w:t>e79157.</w:t>
      </w:r>
    </w:p>
    <w:p w14:paraId="3D2047E4" w14:textId="77777777" w:rsidR="0092721B" w:rsidRDefault="00D22738">
      <w:pPr>
        <w:pStyle w:val="a5"/>
        <w:numPr>
          <w:ilvl w:val="0"/>
          <w:numId w:val="1"/>
        </w:numPr>
        <w:tabs>
          <w:tab w:val="left" w:pos="414"/>
        </w:tabs>
        <w:spacing w:before="101" w:line="261" w:lineRule="auto"/>
        <w:ind w:right="38"/>
        <w:jc w:val="both"/>
        <w:rPr>
          <w:sz w:val="16"/>
        </w:rPr>
      </w:pPr>
      <w:r>
        <w:rPr>
          <w:w w:val="85"/>
          <w:sz w:val="16"/>
          <w:lang w:eastAsia="ja-JP"/>
        </w:rPr>
        <w:t>緒方憲夫「二酸化塩素によるインフルエンザウイルスのヘマグルチニンの不活性化。受容体結合部位の保存されたトリプトファン153残基の酸化。</w:t>
      </w:r>
      <w:r>
        <w:rPr>
          <w:w w:val="85"/>
          <w:sz w:val="16"/>
        </w:rPr>
        <w:t>"</w:t>
      </w:r>
      <w:r>
        <w:rPr>
          <w:i/>
          <w:w w:val="85"/>
          <w:sz w:val="16"/>
        </w:rPr>
        <w:t xml:space="preserve">J Gen Virol </w:t>
      </w:r>
      <w:r>
        <w:rPr>
          <w:w w:val="85"/>
          <w:sz w:val="16"/>
        </w:rPr>
        <w:t>93(2012): 2558-2563.</w:t>
      </w:r>
    </w:p>
    <w:p w14:paraId="1A72CFD2" w14:textId="77777777" w:rsidR="0092721B" w:rsidRDefault="00D22738">
      <w:pPr>
        <w:pStyle w:val="a5"/>
        <w:numPr>
          <w:ilvl w:val="0"/>
          <w:numId w:val="1"/>
        </w:numPr>
        <w:tabs>
          <w:tab w:val="left" w:pos="414"/>
        </w:tabs>
        <w:spacing w:before="100" w:line="261" w:lineRule="auto"/>
        <w:ind w:right="38"/>
        <w:jc w:val="both"/>
        <w:rPr>
          <w:sz w:val="16"/>
        </w:rPr>
      </w:pPr>
      <w:r>
        <w:rPr>
          <w:w w:val="85"/>
          <w:sz w:val="16"/>
        </w:rPr>
        <w:t>Láng, Orsolya, Krisztina S Nagy, Julia Láng, Katalin Perczel-Kovách, et al. "Comparative Study of Hyper pure Chlorine Dioxide with Two other Irrigants Regarding the Viability of Periodontal Ligament Stem Cells".</w:t>
      </w:r>
      <w:r>
        <w:rPr>
          <w:i/>
          <w:w w:val="85"/>
          <w:sz w:val="16"/>
        </w:rPr>
        <w:t xml:space="preserve">Clin Oral Invest </w:t>
      </w:r>
      <w:r>
        <w:rPr>
          <w:i/>
          <w:w w:val="90"/>
          <w:sz w:val="16"/>
        </w:rPr>
        <w:t>2</w:t>
      </w:r>
      <w:r>
        <w:rPr>
          <w:w w:val="90"/>
          <w:sz w:val="16"/>
        </w:rPr>
        <w:t>(2020): 1-12.</w:t>
      </w:r>
    </w:p>
    <w:p w14:paraId="419B6489" w14:textId="77777777" w:rsidR="0092721B" w:rsidRDefault="00D22738">
      <w:pPr>
        <w:pStyle w:val="a5"/>
        <w:numPr>
          <w:ilvl w:val="0"/>
          <w:numId w:val="1"/>
        </w:numPr>
        <w:tabs>
          <w:tab w:val="left" w:pos="414"/>
        </w:tabs>
        <w:spacing w:before="92" w:line="249" w:lineRule="auto"/>
        <w:ind w:right="38"/>
        <w:jc w:val="both"/>
        <w:rPr>
          <w:sz w:val="16"/>
        </w:rPr>
      </w:pPr>
      <w:r>
        <w:rPr>
          <w:w w:val="80"/>
          <w:sz w:val="16"/>
        </w:rPr>
        <w:t>Pichert, Annelie and Jürgen Arnhold."亜塩素酸塩ベースの薬剤WF10</w:t>
      </w:r>
      <w:r>
        <w:rPr>
          <w:w w:val="85"/>
          <w:sz w:val="16"/>
        </w:rPr>
        <w:t>と亜塩素酸塩のヘモグロビン、メトヘモグロビン、フェリルヘモグロビンとの相互作用"</w:t>
      </w:r>
      <w:r>
        <w:rPr>
          <w:i/>
          <w:w w:val="85"/>
          <w:sz w:val="16"/>
        </w:rPr>
        <w:t xml:space="preserve">Arch </w:t>
      </w:r>
      <w:r>
        <w:rPr>
          <w:i/>
          <w:w w:val="90"/>
          <w:sz w:val="16"/>
        </w:rPr>
        <w:t xml:space="preserve">Biochem Biophys </w:t>
      </w:r>
      <w:r>
        <w:rPr>
          <w:w w:val="90"/>
          <w:sz w:val="16"/>
        </w:rPr>
        <w:t>585(2015): 82-89.</w:t>
      </w:r>
    </w:p>
    <w:p w14:paraId="016CACEC" w14:textId="77777777" w:rsidR="0092721B" w:rsidRDefault="00D22738">
      <w:pPr>
        <w:pStyle w:val="a5"/>
        <w:numPr>
          <w:ilvl w:val="0"/>
          <w:numId w:val="1"/>
        </w:numPr>
        <w:tabs>
          <w:tab w:val="left" w:pos="414"/>
        </w:tabs>
        <w:spacing w:before="105" w:line="249" w:lineRule="auto"/>
        <w:jc w:val="both"/>
        <w:rPr>
          <w:sz w:val="16"/>
        </w:rPr>
      </w:pPr>
      <w:r>
        <w:rPr>
          <w:w w:val="81"/>
          <w:sz w:val="16"/>
        </w:rPr>
        <w:br w:type="column"/>
      </w:r>
      <w:r>
        <w:rPr>
          <w:w w:val="80"/>
          <w:sz w:val="16"/>
        </w:rPr>
        <w:t>Couri, Daniel, Mohamed S Abdel-Rahman and Richard J Bull."Toxicological Effects of Chlorine Dioxide, Chlorite and Chlorate".</w:t>
      </w:r>
      <w:r>
        <w:rPr>
          <w:i/>
          <w:w w:val="80"/>
          <w:sz w:val="16"/>
        </w:rPr>
        <w:t xml:space="preserve">Environ Health Persp </w:t>
      </w:r>
      <w:r>
        <w:rPr>
          <w:w w:val="80"/>
          <w:sz w:val="16"/>
        </w:rPr>
        <w:t>46(1982): 13-17.</w:t>
      </w:r>
    </w:p>
    <w:p w14:paraId="41328259" w14:textId="77777777" w:rsidR="0092721B" w:rsidRDefault="00D22738">
      <w:pPr>
        <w:pStyle w:val="a5"/>
        <w:numPr>
          <w:ilvl w:val="0"/>
          <w:numId w:val="1"/>
        </w:numPr>
        <w:tabs>
          <w:tab w:val="left" w:pos="414"/>
        </w:tabs>
        <w:spacing w:before="103" w:line="249" w:lineRule="auto"/>
        <w:jc w:val="both"/>
        <w:rPr>
          <w:sz w:val="16"/>
        </w:rPr>
      </w:pPr>
      <w:r>
        <w:rPr>
          <w:w w:val="80"/>
          <w:sz w:val="16"/>
        </w:rPr>
        <w:t xml:space="preserve">YanRH, ZhangYY."Structure Basis for the Recognition of the SARS-CoV-2 by Full </w:t>
      </w:r>
      <w:r>
        <w:rPr>
          <w:w w:val="90"/>
          <w:sz w:val="16"/>
        </w:rPr>
        <w:t xml:space="preserve">Length Human ACE2." </w:t>
      </w:r>
      <w:r>
        <w:rPr>
          <w:i/>
          <w:w w:val="90"/>
          <w:sz w:val="16"/>
        </w:rPr>
        <w:t>bioRxiv</w:t>
      </w:r>
      <w:r>
        <w:rPr>
          <w:w w:val="90"/>
          <w:sz w:val="16"/>
        </w:rPr>
        <w:t>.</w:t>
      </w:r>
    </w:p>
    <w:p w14:paraId="49BF550B" w14:textId="77777777" w:rsidR="0092721B" w:rsidRDefault="00D22738">
      <w:pPr>
        <w:pStyle w:val="a5"/>
        <w:numPr>
          <w:ilvl w:val="0"/>
          <w:numId w:val="1"/>
        </w:numPr>
        <w:tabs>
          <w:tab w:val="left" w:pos="414"/>
        </w:tabs>
        <w:spacing w:line="249" w:lineRule="auto"/>
        <w:jc w:val="both"/>
        <w:rPr>
          <w:sz w:val="16"/>
        </w:rPr>
      </w:pPr>
      <w:r>
        <w:rPr>
          <w:w w:val="85"/>
          <w:sz w:val="16"/>
        </w:rPr>
        <w:t xml:space="preserve">Schijven, Jack, Peter Teunis, Trudy Suylen and Henk Ketelaars."QMRA of </w:t>
      </w:r>
      <w:r>
        <w:rPr>
          <w:spacing w:val="-1"/>
          <w:w w:val="85"/>
          <w:sz w:val="16"/>
        </w:rPr>
        <w:t xml:space="preserve">Adenovirus </w:t>
      </w:r>
      <w:r>
        <w:rPr>
          <w:w w:val="85"/>
          <w:sz w:val="16"/>
        </w:rPr>
        <w:t xml:space="preserve">in Drinking Water at a Drinking Water Treatment Plant using UV and </w:t>
      </w:r>
      <w:r>
        <w:rPr>
          <w:w w:val="80"/>
          <w:sz w:val="16"/>
        </w:rPr>
        <w:t>Chlorine Dioxide Disinfection".</w:t>
      </w:r>
      <w:r>
        <w:rPr>
          <w:i/>
          <w:w w:val="80"/>
          <w:sz w:val="16"/>
        </w:rPr>
        <w:t xml:space="preserve">Water Res </w:t>
      </w:r>
      <w:r>
        <w:rPr>
          <w:w w:val="80"/>
          <w:sz w:val="16"/>
        </w:rPr>
        <w:t>158(2019): 34-45.</w:t>
      </w:r>
    </w:p>
    <w:p w14:paraId="4C2E5B97" w14:textId="77777777" w:rsidR="0092721B" w:rsidRDefault="00D22738">
      <w:pPr>
        <w:pStyle w:val="a5"/>
        <w:numPr>
          <w:ilvl w:val="0"/>
          <w:numId w:val="1"/>
        </w:numPr>
        <w:tabs>
          <w:tab w:val="left" w:pos="414"/>
        </w:tabs>
        <w:spacing w:line="249" w:lineRule="auto"/>
        <w:jc w:val="both"/>
        <w:rPr>
          <w:sz w:val="16"/>
        </w:rPr>
      </w:pPr>
      <w:r>
        <w:rPr>
          <w:w w:val="80"/>
          <w:sz w:val="16"/>
        </w:rPr>
        <w:t>Shi, L and C Xie."Experimental Observation on Acute Toxicity and Irritative Effect of Stable Chlorine Dioxide."</w:t>
      </w:r>
      <w:r>
        <w:rPr>
          <w:i/>
          <w:w w:val="80"/>
          <w:sz w:val="16"/>
        </w:rPr>
        <w:t xml:space="preserve">Zhongguo Xiaoduxue Zashi </w:t>
      </w:r>
      <w:r>
        <w:rPr>
          <w:w w:val="80"/>
          <w:sz w:val="16"/>
        </w:rPr>
        <w:t>16(1999): 39-40.</w:t>
      </w:r>
    </w:p>
    <w:p w14:paraId="297C8C78" w14:textId="77777777" w:rsidR="0092721B" w:rsidRDefault="00D22738">
      <w:pPr>
        <w:pStyle w:val="a5"/>
        <w:numPr>
          <w:ilvl w:val="0"/>
          <w:numId w:val="1"/>
        </w:numPr>
        <w:tabs>
          <w:tab w:val="left" w:pos="414"/>
        </w:tabs>
        <w:spacing w:before="103" w:line="249" w:lineRule="auto"/>
        <w:jc w:val="both"/>
        <w:rPr>
          <w:sz w:val="16"/>
        </w:rPr>
      </w:pPr>
      <w:r>
        <w:rPr>
          <w:w w:val="85"/>
          <w:sz w:val="16"/>
        </w:rPr>
        <w:t xml:space="preserve">Simmons, Graham, Jacqueline D Reeves, Andrew J Rennekamp, Sean M </w:t>
      </w:r>
      <w:r>
        <w:rPr>
          <w:w w:val="80"/>
          <w:sz w:val="16"/>
        </w:rPr>
        <w:t>Amberg, et al. "Characterization of Severe Acute Respiratory Syndrome-Associated Coronavirus (SARS-CoV) Spike Glycoprotein-Mediated Viral Entry."</w:t>
      </w:r>
      <w:r>
        <w:rPr>
          <w:i/>
          <w:w w:val="80"/>
          <w:sz w:val="16"/>
        </w:rPr>
        <w:t xml:space="preserve">Proc Nat Acad </w:t>
      </w:r>
      <w:r>
        <w:rPr>
          <w:i/>
          <w:w w:val="90"/>
          <w:sz w:val="16"/>
        </w:rPr>
        <w:t xml:space="preserve">Sci </w:t>
      </w:r>
      <w:r>
        <w:rPr>
          <w:w w:val="90"/>
          <w:sz w:val="16"/>
        </w:rPr>
        <w:t>101(2004): 4240-4245.</w:t>
      </w:r>
    </w:p>
    <w:p w14:paraId="2A259E8D" w14:textId="77777777" w:rsidR="0092721B" w:rsidRDefault="00D22738">
      <w:pPr>
        <w:pStyle w:val="a5"/>
        <w:numPr>
          <w:ilvl w:val="0"/>
          <w:numId w:val="1"/>
        </w:numPr>
        <w:tabs>
          <w:tab w:val="left" w:pos="414"/>
        </w:tabs>
        <w:spacing w:before="105" w:line="249" w:lineRule="auto"/>
        <w:jc w:val="both"/>
        <w:rPr>
          <w:sz w:val="16"/>
        </w:rPr>
      </w:pPr>
      <w:r>
        <w:rPr>
          <w:w w:val="80"/>
          <w:sz w:val="16"/>
        </w:rPr>
        <w:t xml:space="preserve">Song, Wenfei, Miao Gui, Xinquan Wang, Ye Xiang."Cryo-EM Structure of the </w:t>
      </w:r>
      <w:r>
        <w:rPr>
          <w:w w:val="85"/>
          <w:sz w:val="16"/>
        </w:rPr>
        <w:t>SARS Coronavirus Spike Glycoprotein in Complex with its Host Cell Receptor ACE2（SARSコロナウイルススパイク糖タンパク質とその宿主細胞受容体ACE2との複合体</w:t>
      </w:r>
      <w:r>
        <w:rPr>
          <w:w w:val="80"/>
          <w:sz w:val="16"/>
        </w:rPr>
        <w:t>の低温電子顕微鏡構造</w:t>
      </w:r>
      <w:r>
        <w:rPr>
          <w:w w:val="85"/>
          <w:sz w:val="16"/>
        </w:rPr>
        <w:t>）"</w:t>
      </w:r>
      <w:r>
        <w:rPr>
          <w:i/>
          <w:w w:val="85"/>
          <w:sz w:val="16"/>
        </w:rPr>
        <w:t xml:space="preserve">PLoS Pathog </w:t>
      </w:r>
      <w:r>
        <w:rPr>
          <w:w w:val="85"/>
          <w:sz w:val="16"/>
        </w:rPr>
        <w:t>14(2018): e1007236.</w:t>
      </w:r>
    </w:p>
    <w:p w14:paraId="00406197" w14:textId="77777777" w:rsidR="0092721B" w:rsidRDefault="008834D1">
      <w:pPr>
        <w:pStyle w:val="a5"/>
        <w:numPr>
          <w:ilvl w:val="0"/>
          <w:numId w:val="1"/>
        </w:numPr>
        <w:tabs>
          <w:tab w:val="left" w:pos="414"/>
        </w:tabs>
        <w:ind w:right="0"/>
        <w:rPr>
          <w:sz w:val="16"/>
        </w:rPr>
      </w:pPr>
      <w:hyperlink r:id="rId38">
        <w:r w:rsidR="00D22738">
          <w:rPr>
            <w:w w:val="90"/>
            <w:sz w:val="16"/>
          </w:rPr>
          <w:t>https://www.atsdr.cdc.gov/toxprofiles/tp160.pdf</w:t>
        </w:r>
      </w:hyperlink>
    </w:p>
    <w:p w14:paraId="40EC9394" w14:textId="77777777" w:rsidR="0092721B" w:rsidRDefault="008834D1">
      <w:pPr>
        <w:pStyle w:val="a5"/>
        <w:numPr>
          <w:ilvl w:val="0"/>
          <w:numId w:val="1"/>
        </w:numPr>
        <w:tabs>
          <w:tab w:val="left" w:pos="414"/>
        </w:tabs>
        <w:spacing w:before="110"/>
        <w:ind w:right="0"/>
        <w:rPr>
          <w:sz w:val="16"/>
        </w:rPr>
      </w:pPr>
      <w:hyperlink r:id="rId39">
        <w:r w:rsidR="00D22738">
          <w:rPr>
            <w:w w:val="85"/>
            <w:sz w:val="16"/>
          </w:rPr>
          <w:t>https://cfpub.epa.gov/ncea/iris/iris_documents/documents/toxreviews/0648tr.pdf</w:t>
        </w:r>
      </w:hyperlink>
    </w:p>
    <w:p w14:paraId="4EE677AC" w14:textId="77777777" w:rsidR="0092721B" w:rsidRDefault="008834D1">
      <w:pPr>
        <w:pStyle w:val="a5"/>
        <w:numPr>
          <w:ilvl w:val="0"/>
          <w:numId w:val="1"/>
        </w:numPr>
        <w:tabs>
          <w:tab w:val="left" w:pos="414"/>
        </w:tabs>
        <w:spacing w:before="110"/>
        <w:ind w:right="0"/>
        <w:rPr>
          <w:sz w:val="16"/>
        </w:rPr>
      </w:pPr>
      <w:hyperlink r:id="rId40">
        <w:r w:rsidR="00D22738">
          <w:rPr>
            <w:w w:val="80"/>
            <w:sz w:val="16"/>
          </w:rPr>
          <w:t>https://www3.epa.gov/pesticides/chem_search/ppls/074986-00001-20040414.pdf</w:t>
        </w:r>
      </w:hyperlink>
    </w:p>
    <w:p w14:paraId="7A89E0B7" w14:textId="77777777" w:rsidR="0092721B" w:rsidRDefault="00D22738">
      <w:pPr>
        <w:pStyle w:val="a5"/>
        <w:numPr>
          <w:ilvl w:val="0"/>
          <w:numId w:val="1"/>
        </w:numPr>
        <w:tabs>
          <w:tab w:val="left" w:pos="415"/>
        </w:tabs>
        <w:spacing w:before="110" w:line="249" w:lineRule="auto"/>
        <w:ind w:left="414" w:right="120"/>
        <w:jc w:val="both"/>
        <w:rPr>
          <w:sz w:val="16"/>
        </w:rPr>
      </w:pPr>
      <w:r>
        <w:rPr>
          <w:w w:val="80"/>
          <w:sz w:val="16"/>
        </w:rPr>
        <w:t xml:space="preserve">https://www3.epa.gov/pesticides/chem_search/cleared_reviews/csr_PC- </w:t>
      </w:r>
      <w:r>
        <w:rPr>
          <w:w w:val="90"/>
          <w:sz w:val="16"/>
        </w:rPr>
        <w:t>020503_26-Sep-08_a.pdf</w:t>
      </w:r>
    </w:p>
    <w:p w14:paraId="167EC784" w14:textId="77777777" w:rsidR="0092721B" w:rsidRDefault="008834D1">
      <w:pPr>
        <w:pStyle w:val="a5"/>
        <w:numPr>
          <w:ilvl w:val="0"/>
          <w:numId w:val="1"/>
        </w:numPr>
        <w:tabs>
          <w:tab w:val="left" w:pos="415"/>
        </w:tabs>
        <w:ind w:left="414" w:right="0" w:hanging="285"/>
        <w:rPr>
          <w:sz w:val="16"/>
        </w:rPr>
      </w:pPr>
      <w:hyperlink r:id="rId41">
        <w:r w:rsidR="00D22738">
          <w:rPr>
            <w:w w:val="90"/>
            <w:sz w:val="16"/>
          </w:rPr>
          <w:t>https://iaspub.epa.gov/apex/pesticides/f</w:t>
        </w:r>
      </w:hyperlink>
      <w:r w:rsidR="00D22738">
        <w:rPr>
          <w:w w:val="90"/>
          <w:sz w:val="16"/>
        </w:rPr>
        <w:t>？</w:t>
      </w:r>
    </w:p>
    <w:p w14:paraId="18B8D052" w14:textId="77777777" w:rsidR="0092721B" w:rsidRDefault="008834D1">
      <w:pPr>
        <w:pStyle w:val="a5"/>
        <w:numPr>
          <w:ilvl w:val="0"/>
          <w:numId w:val="1"/>
        </w:numPr>
        <w:tabs>
          <w:tab w:val="left" w:pos="415"/>
        </w:tabs>
        <w:spacing w:before="110"/>
        <w:ind w:left="414" w:right="0" w:hanging="285"/>
        <w:rPr>
          <w:sz w:val="16"/>
        </w:rPr>
      </w:pPr>
      <w:hyperlink r:id="rId42">
        <w:r w:rsidR="00D22738">
          <w:rPr>
            <w:spacing w:val="-1"/>
            <w:w w:val="85"/>
            <w:sz w:val="16"/>
          </w:rPr>
          <w:t>https://www.epa.gov/pesticide-registration/list-n-disinfectants-coronavirus-covid-19</w:t>
        </w:r>
      </w:hyperlink>
    </w:p>
    <w:p w14:paraId="051CAA91" w14:textId="77777777" w:rsidR="0092721B" w:rsidRDefault="00D22738">
      <w:pPr>
        <w:pStyle w:val="a5"/>
        <w:numPr>
          <w:ilvl w:val="0"/>
          <w:numId w:val="1"/>
        </w:numPr>
        <w:tabs>
          <w:tab w:val="left" w:pos="415"/>
        </w:tabs>
        <w:spacing w:before="110" w:line="249" w:lineRule="auto"/>
        <w:ind w:left="414" w:right="129"/>
        <w:jc w:val="both"/>
        <w:rPr>
          <w:sz w:val="16"/>
          <w:lang w:eastAsia="ja-JP"/>
        </w:rPr>
      </w:pPr>
      <w:r>
        <w:rPr>
          <w:w w:val="80"/>
          <w:sz w:val="16"/>
          <w:lang w:eastAsia="ja-JP"/>
        </w:rPr>
        <w:t xml:space="preserve">https://consumermedsafety.org/medication-safety-articles/item/179-miracle- </w:t>
      </w:r>
      <w:r>
        <w:rPr>
          <w:w w:val="90"/>
          <w:sz w:val="16"/>
          <w:lang w:eastAsia="ja-JP"/>
        </w:rPr>
        <w:t>トリートメントからポテントブリーチへの転換</w:t>
      </w:r>
    </w:p>
    <w:p w14:paraId="37C828CF" w14:textId="77777777" w:rsidR="0092721B" w:rsidRDefault="008834D1">
      <w:pPr>
        <w:pStyle w:val="a5"/>
        <w:numPr>
          <w:ilvl w:val="0"/>
          <w:numId w:val="1"/>
        </w:numPr>
        <w:tabs>
          <w:tab w:val="left" w:pos="415"/>
        </w:tabs>
        <w:spacing w:before="103"/>
        <w:ind w:left="414" w:right="0" w:hanging="285"/>
        <w:rPr>
          <w:sz w:val="16"/>
        </w:rPr>
      </w:pPr>
      <w:hyperlink r:id="rId43">
        <w:r w:rsidR="00D22738">
          <w:rPr>
            <w:w w:val="80"/>
            <w:sz w:val="16"/>
          </w:rPr>
          <w:t>https://www.accessdata.fda.gov/scripts/cdrh/cfdocs/cfcfr/cfrsearch.cfm?fr=173.300</w:t>
        </w:r>
      </w:hyperlink>
    </w:p>
    <w:p w14:paraId="14D26684" w14:textId="77777777" w:rsidR="0092721B" w:rsidRDefault="00D22738">
      <w:pPr>
        <w:pStyle w:val="a5"/>
        <w:numPr>
          <w:ilvl w:val="0"/>
          <w:numId w:val="1"/>
        </w:numPr>
        <w:tabs>
          <w:tab w:val="left" w:pos="415"/>
        </w:tabs>
        <w:spacing w:before="110" w:line="249" w:lineRule="auto"/>
        <w:ind w:left="414" w:right="122"/>
        <w:jc w:val="both"/>
        <w:rPr>
          <w:sz w:val="16"/>
        </w:rPr>
      </w:pPr>
      <w:r>
        <w:rPr>
          <w:w w:val="80"/>
          <w:sz w:val="16"/>
        </w:rPr>
        <w:t>https://www.fda.gov/emergency-preparedness-and-response/coronavirus-disease- 2019-covid-19/coronavirus-disease-2019-covid-19-frequently-asked-questions.</w:t>
      </w:r>
    </w:p>
    <w:p w14:paraId="66B39D35" w14:textId="77777777" w:rsidR="0092721B" w:rsidRDefault="00D22738">
      <w:pPr>
        <w:pStyle w:val="a5"/>
        <w:numPr>
          <w:ilvl w:val="0"/>
          <w:numId w:val="1"/>
        </w:numPr>
        <w:tabs>
          <w:tab w:val="left" w:pos="415"/>
        </w:tabs>
        <w:spacing w:line="249" w:lineRule="auto"/>
        <w:ind w:left="414"/>
        <w:jc w:val="both"/>
        <w:rPr>
          <w:sz w:val="16"/>
        </w:rPr>
      </w:pPr>
      <w:r>
        <w:rPr>
          <w:w w:val="85"/>
          <w:sz w:val="16"/>
        </w:rPr>
        <w:t>Wang, Peigang, Jian Chen, Aihua Zheng, Yuchun Nie, et al. "Expression Cloning of Functional Receptor used by SARS Coronavirus".</w:t>
      </w:r>
      <w:r>
        <w:rPr>
          <w:i/>
          <w:w w:val="85"/>
          <w:sz w:val="16"/>
        </w:rPr>
        <w:t xml:space="preserve">Biochem Biophys </w:t>
      </w:r>
      <w:r>
        <w:rPr>
          <w:i/>
          <w:w w:val="90"/>
          <w:sz w:val="16"/>
        </w:rPr>
        <w:t xml:space="preserve">Res Commun </w:t>
      </w:r>
      <w:r>
        <w:rPr>
          <w:w w:val="90"/>
          <w:sz w:val="16"/>
        </w:rPr>
        <w:t>315(2004): 439-444.</w:t>
      </w:r>
    </w:p>
    <w:p w14:paraId="13A2F07E" w14:textId="77777777" w:rsidR="0092721B" w:rsidRDefault="00D22738">
      <w:pPr>
        <w:pStyle w:val="a5"/>
        <w:numPr>
          <w:ilvl w:val="0"/>
          <w:numId w:val="1"/>
        </w:numPr>
        <w:tabs>
          <w:tab w:val="left" w:pos="415"/>
        </w:tabs>
        <w:spacing w:line="249" w:lineRule="auto"/>
        <w:ind w:left="414"/>
        <w:jc w:val="both"/>
        <w:rPr>
          <w:sz w:val="16"/>
        </w:rPr>
      </w:pPr>
      <w:r>
        <w:rPr>
          <w:w w:val="80"/>
          <w:sz w:val="16"/>
        </w:rPr>
        <w:t xml:space="preserve">Wang, Xin-Wei, Jin-Song Li, Min Jin and Bei Zhen, et al. "Study on the Resistance </w:t>
      </w:r>
      <w:r>
        <w:rPr>
          <w:w w:val="85"/>
          <w:sz w:val="16"/>
        </w:rPr>
        <w:t>of Severe Acute Respiratory Syndrom-Associated Coronavirus".</w:t>
      </w:r>
      <w:r>
        <w:rPr>
          <w:i/>
          <w:w w:val="85"/>
          <w:sz w:val="16"/>
        </w:rPr>
        <w:t xml:space="preserve">J Virol </w:t>
      </w:r>
      <w:r>
        <w:rPr>
          <w:i/>
          <w:w w:val="90"/>
          <w:sz w:val="16"/>
        </w:rPr>
        <w:t xml:space="preserve">Methods </w:t>
      </w:r>
      <w:r>
        <w:rPr>
          <w:w w:val="90"/>
          <w:sz w:val="16"/>
        </w:rPr>
        <w:t>126(2005): 171-177.</w:t>
      </w:r>
    </w:p>
    <w:p w14:paraId="6CF0DD60" w14:textId="77777777" w:rsidR="0092721B" w:rsidRDefault="00D22738">
      <w:pPr>
        <w:pStyle w:val="a5"/>
        <w:numPr>
          <w:ilvl w:val="0"/>
          <w:numId w:val="1"/>
        </w:numPr>
        <w:tabs>
          <w:tab w:val="left" w:pos="415"/>
        </w:tabs>
        <w:spacing w:line="249" w:lineRule="auto"/>
        <w:ind w:left="414" w:right="129"/>
        <w:jc w:val="both"/>
        <w:rPr>
          <w:sz w:val="16"/>
        </w:rPr>
      </w:pPr>
      <w:r>
        <w:rPr>
          <w:w w:val="80"/>
          <w:sz w:val="16"/>
        </w:rPr>
        <w:t xml:space="preserve">https://www.who.int/emergencies/diseases/novel-coronavirus-2019/technical- </w:t>
      </w:r>
      <w:r>
        <w:rPr>
          <w:spacing w:val="-1"/>
          <w:w w:val="80"/>
          <w:sz w:val="16"/>
        </w:rPr>
        <w:t>ガイダンス/naming-the-coronavirus-disease(covid-2019)-and-the-virus-that-causes-it.</w:t>
      </w:r>
    </w:p>
    <w:p w14:paraId="6F699047" w14:textId="77777777" w:rsidR="0092721B" w:rsidRDefault="008834D1">
      <w:pPr>
        <w:pStyle w:val="a5"/>
        <w:numPr>
          <w:ilvl w:val="0"/>
          <w:numId w:val="1"/>
        </w:numPr>
        <w:tabs>
          <w:tab w:val="left" w:pos="415"/>
        </w:tabs>
        <w:spacing w:before="103" w:line="249" w:lineRule="auto"/>
        <w:ind w:left="414" w:right="125"/>
        <w:jc w:val="both"/>
        <w:rPr>
          <w:sz w:val="16"/>
        </w:rPr>
      </w:pPr>
      <w:hyperlink r:id="rId44">
        <w:r w:rsidR="00D22738">
          <w:rPr>
            <w:w w:val="80"/>
            <w:sz w:val="16"/>
          </w:rPr>
          <w:t xml:space="preserve">https://www.who.int/emergencies/diseases/novel-coronavirus-2019/events-as- </w:t>
        </w:r>
      </w:hyperlink>
      <w:hyperlink r:id="rId45">
        <w:r w:rsidR="00D22738">
          <w:rPr>
            <w:w w:val="90"/>
            <w:sz w:val="16"/>
          </w:rPr>
          <w:t>they-happen。</w:t>
        </w:r>
      </w:hyperlink>
    </w:p>
    <w:p w14:paraId="3FD0DCEB" w14:textId="77777777" w:rsidR="0092721B" w:rsidRDefault="008834D1">
      <w:pPr>
        <w:pStyle w:val="a5"/>
        <w:numPr>
          <w:ilvl w:val="0"/>
          <w:numId w:val="1"/>
        </w:numPr>
        <w:tabs>
          <w:tab w:val="left" w:pos="415"/>
        </w:tabs>
        <w:spacing w:line="249" w:lineRule="auto"/>
        <w:ind w:left="414" w:right="122"/>
        <w:jc w:val="both"/>
        <w:rPr>
          <w:sz w:val="16"/>
        </w:rPr>
      </w:pPr>
      <w:hyperlink r:id="rId46">
        <w:r w:rsidR="00D22738">
          <w:rPr>
            <w:w w:val="80"/>
            <w:sz w:val="16"/>
          </w:rPr>
          <w:t xml:space="preserve">https://www.who.int/docs/default-source/coronaviruse/situation-reports/20200522- </w:t>
        </w:r>
      </w:hyperlink>
      <w:hyperlink r:id="rId47">
        <w:r w:rsidR="00D22738">
          <w:rPr>
            <w:w w:val="90"/>
            <w:sz w:val="16"/>
          </w:rPr>
          <w:t>covid-19-sitrep</w:t>
        </w:r>
      </w:hyperlink>
    </w:p>
    <w:p w14:paraId="4AB7F737" w14:textId="77777777" w:rsidR="0092721B" w:rsidRDefault="008834D1">
      <w:pPr>
        <w:pStyle w:val="a5"/>
        <w:numPr>
          <w:ilvl w:val="0"/>
          <w:numId w:val="1"/>
        </w:numPr>
        <w:tabs>
          <w:tab w:val="left" w:pos="415"/>
        </w:tabs>
        <w:spacing w:before="103"/>
        <w:ind w:left="414" w:right="0" w:hanging="285"/>
        <w:rPr>
          <w:sz w:val="16"/>
        </w:rPr>
      </w:pPr>
      <w:hyperlink r:id="rId48">
        <w:r w:rsidR="00D22738">
          <w:rPr>
            <w:w w:val="90"/>
            <w:sz w:val="16"/>
          </w:rPr>
          <w:t>https://www.who.int/substance_abuse/facts/en/</w:t>
        </w:r>
      </w:hyperlink>
    </w:p>
    <w:p w14:paraId="0E93DCA3" w14:textId="77777777" w:rsidR="0092721B" w:rsidRDefault="00D22738">
      <w:pPr>
        <w:pStyle w:val="a5"/>
        <w:numPr>
          <w:ilvl w:val="0"/>
          <w:numId w:val="1"/>
        </w:numPr>
        <w:tabs>
          <w:tab w:val="left" w:pos="415"/>
        </w:tabs>
        <w:spacing w:before="110" w:line="249" w:lineRule="auto"/>
        <w:ind w:left="414"/>
        <w:jc w:val="both"/>
        <w:rPr>
          <w:sz w:val="16"/>
        </w:rPr>
      </w:pPr>
      <w:r>
        <w:rPr>
          <w:w w:val="85"/>
          <w:sz w:val="16"/>
        </w:rPr>
        <w:t xml:space="preserve">Zambrano-Estrada, Xochitl, Carlos A Dominguez-Sanchez, Marina Banuet- Martinez, Fabiola Guerrero-de la Rosa, et al. "Evaluation of Antiviral </w:t>
      </w:r>
      <w:r>
        <w:rPr>
          <w:w w:val="80"/>
          <w:sz w:val="16"/>
        </w:rPr>
        <w:t xml:space="preserve">Effect of Chlorine Dioxide (ClO2) using a Vertebrate Model Inoculated with Avian </w:t>
      </w:r>
      <w:r>
        <w:rPr>
          <w:w w:val="90"/>
          <w:sz w:val="16"/>
        </w:rPr>
        <w:t xml:space="preserve">Coronavirus." </w:t>
      </w:r>
      <w:r>
        <w:rPr>
          <w:i/>
          <w:w w:val="90"/>
          <w:sz w:val="16"/>
        </w:rPr>
        <w:t>bioRxiv</w:t>
      </w:r>
      <w:r>
        <w:rPr>
          <w:w w:val="90"/>
          <w:sz w:val="16"/>
        </w:rPr>
        <w:t>, 2020.</w:t>
      </w:r>
    </w:p>
    <w:p w14:paraId="59842305" w14:textId="77777777" w:rsidR="0092721B" w:rsidRDefault="00D22738">
      <w:pPr>
        <w:pStyle w:val="a5"/>
        <w:numPr>
          <w:ilvl w:val="0"/>
          <w:numId w:val="1"/>
        </w:numPr>
        <w:tabs>
          <w:tab w:val="left" w:pos="415"/>
        </w:tabs>
        <w:spacing w:before="105" w:line="249" w:lineRule="auto"/>
        <w:ind w:left="414" w:right="123"/>
        <w:jc w:val="both"/>
        <w:rPr>
          <w:sz w:val="16"/>
        </w:rPr>
      </w:pPr>
      <w:r>
        <w:rPr>
          <w:w w:val="80"/>
          <w:sz w:val="16"/>
        </w:rPr>
        <w:t>Xue, Bin, Min Jin, Dong Yang and Xuan Guo, et al. "Effects of Chlorine and Chlorine Dioxide on Human Rotavirus Infectivity and Genome Stability."</w:t>
      </w:r>
      <w:r>
        <w:rPr>
          <w:i/>
          <w:w w:val="80"/>
          <w:sz w:val="16"/>
        </w:rPr>
        <w:t xml:space="preserve">Water Res </w:t>
      </w:r>
      <w:r>
        <w:rPr>
          <w:w w:val="80"/>
          <w:sz w:val="16"/>
        </w:rPr>
        <w:t xml:space="preserve">47(2013): </w:t>
      </w:r>
      <w:r>
        <w:rPr>
          <w:w w:val="90"/>
          <w:sz w:val="16"/>
        </w:rPr>
        <w:t>3329-3338.</w:t>
      </w:r>
    </w:p>
    <w:p w14:paraId="3D404D6F" w14:textId="77777777" w:rsidR="0092721B" w:rsidRDefault="00D22738">
      <w:pPr>
        <w:pStyle w:val="a5"/>
        <w:numPr>
          <w:ilvl w:val="0"/>
          <w:numId w:val="1"/>
        </w:numPr>
        <w:tabs>
          <w:tab w:val="left" w:pos="415"/>
        </w:tabs>
        <w:spacing w:line="249" w:lineRule="auto"/>
        <w:jc w:val="both"/>
        <w:rPr>
          <w:sz w:val="16"/>
        </w:rPr>
      </w:pPr>
      <w:r>
        <w:rPr>
          <w:w w:val="80"/>
          <w:sz w:val="16"/>
        </w:rPr>
        <w:t>Young, RO."Chlorine dioxide (</w:t>
      </w:r>
      <w:r>
        <w:rPr>
          <w:w w:val="80"/>
          <w:sz w:val="16"/>
          <w:vertAlign w:val="subscript"/>
        </w:rPr>
        <w:t>ClO2</w:t>
      </w:r>
      <w:r>
        <w:rPr>
          <w:w w:val="80"/>
          <w:sz w:val="16"/>
        </w:rPr>
        <w:t>) as a Non-Toxic Antimicrobial Agent for Virus, Bacteria and Yeast (</w:t>
      </w:r>
      <w:r>
        <w:rPr>
          <w:i/>
          <w:w w:val="80"/>
          <w:sz w:val="16"/>
        </w:rPr>
        <w:t>Candida albicans</w:t>
      </w:r>
      <w:r>
        <w:rPr>
          <w:w w:val="80"/>
          <w:sz w:val="16"/>
        </w:rPr>
        <w:t>)".</w:t>
      </w:r>
      <w:r>
        <w:rPr>
          <w:i/>
          <w:w w:val="80"/>
          <w:sz w:val="16"/>
        </w:rPr>
        <w:t xml:space="preserve">Int J Vaccines Vaccin </w:t>
      </w:r>
      <w:r>
        <w:rPr>
          <w:w w:val="80"/>
          <w:sz w:val="16"/>
        </w:rPr>
        <w:t>2(2016): 00052.</w:t>
      </w:r>
    </w:p>
    <w:p w14:paraId="66E77443" w14:textId="77777777" w:rsidR="0092721B" w:rsidRDefault="00D22738">
      <w:pPr>
        <w:pStyle w:val="a5"/>
        <w:numPr>
          <w:ilvl w:val="0"/>
          <w:numId w:val="1"/>
        </w:numPr>
        <w:tabs>
          <w:tab w:val="left" w:pos="414"/>
        </w:tabs>
        <w:spacing w:before="102" w:line="249" w:lineRule="auto"/>
        <w:jc w:val="both"/>
        <w:rPr>
          <w:sz w:val="16"/>
        </w:rPr>
      </w:pPr>
      <w:r>
        <w:rPr>
          <w:w w:val="80"/>
          <w:sz w:val="16"/>
        </w:rPr>
        <w:t xml:space="preserve">Zhu, Zhenbang, Yang Guo, Piao Yu, Xiaoying Wang, et al. "Chlorine Dioxide Inhibits the Replication of Porcine Reproductive and Respiratory Syndrome Virus by Blocking Viral Attachment." </w:t>
      </w:r>
      <w:r>
        <w:rPr>
          <w:w w:val="80"/>
          <w:sz w:val="16"/>
          <w:lang w:eastAsia="ja-JP"/>
        </w:rPr>
        <w:t>（二酸化塩素は、ウイルスの付着をブロックすることで、豚の生殖・呼吸器症候群ウイルスの複製を阻害する）。</w:t>
      </w:r>
      <w:r>
        <w:rPr>
          <w:i/>
          <w:w w:val="80"/>
          <w:sz w:val="16"/>
        </w:rPr>
        <w:t xml:space="preserve">Infect Genet Evol </w:t>
      </w:r>
      <w:r>
        <w:rPr>
          <w:w w:val="80"/>
          <w:sz w:val="16"/>
        </w:rPr>
        <w:t>67(2019): 78-87.</w:t>
      </w:r>
    </w:p>
    <w:p w14:paraId="58641F7B" w14:textId="77777777" w:rsidR="0092721B" w:rsidRDefault="0092721B">
      <w:pPr>
        <w:spacing w:line="249" w:lineRule="auto"/>
        <w:jc w:val="both"/>
        <w:rPr>
          <w:sz w:val="16"/>
        </w:rPr>
        <w:sectPr w:rsidR="0092721B">
          <w:type w:val="continuous"/>
          <w:pgSz w:w="11910" w:h="16840"/>
          <w:pgMar w:top="760" w:right="440" w:bottom="280" w:left="720" w:header="814" w:footer="686" w:gutter="0"/>
          <w:cols w:num="2" w:space="720" w:equalWidth="0">
            <w:col w:w="5246" w:space="168"/>
            <w:col w:w="5336"/>
          </w:cols>
        </w:sectPr>
      </w:pPr>
    </w:p>
    <w:p w14:paraId="1418962A" w14:textId="77777777" w:rsidR="0092721B" w:rsidRDefault="0092721B">
      <w:pPr>
        <w:pStyle w:val="a3"/>
        <w:ind w:left="0" w:firstLine="0"/>
        <w:jc w:val="left"/>
        <w:rPr>
          <w:sz w:val="20"/>
        </w:rPr>
      </w:pPr>
    </w:p>
    <w:p w14:paraId="0E4592FE" w14:textId="77777777" w:rsidR="0092721B" w:rsidRDefault="0092721B">
      <w:pPr>
        <w:pStyle w:val="a3"/>
        <w:ind w:left="0" w:firstLine="0"/>
        <w:jc w:val="left"/>
        <w:rPr>
          <w:sz w:val="20"/>
        </w:rPr>
      </w:pPr>
    </w:p>
    <w:p w14:paraId="1E24C390" w14:textId="77777777" w:rsidR="0092721B" w:rsidRDefault="0092721B">
      <w:pPr>
        <w:pStyle w:val="a3"/>
        <w:ind w:left="0" w:firstLine="0"/>
        <w:jc w:val="left"/>
        <w:rPr>
          <w:sz w:val="20"/>
        </w:rPr>
      </w:pPr>
    </w:p>
    <w:p w14:paraId="036F2204" w14:textId="77777777" w:rsidR="0092721B" w:rsidRDefault="0092721B">
      <w:pPr>
        <w:pStyle w:val="a3"/>
        <w:ind w:left="0" w:firstLine="0"/>
        <w:jc w:val="left"/>
        <w:rPr>
          <w:sz w:val="20"/>
        </w:rPr>
      </w:pPr>
    </w:p>
    <w:p w14:paraId="5978977E" w14:textId="77777777" w:rsidR="0092721B" w:rsidRDefault="0092721B">
      <w:pPr>
        <w:pStyle w:val="a3"/>
        <w:ind w:left="0" w:firstLine="0"/>
        <w:jc w:val="left"/>
        <w:rPr>
          <w:sz w:val="19"/>
        </w:rPr>
      </w:pPr>
    </w:p>
    <w:p w14:paraId="0258A4C7" w14:textId="77777777" w:rsidR="0092721B" w:rsidRDefault="008834D1">
      <w:pPr>
        <w:pStyle w:val="a3"/>
        <w:ind w:left="5544" w:firstLine="0"/>
        <w:jc w:val="left"/>
        <w:rPr>
          <w:sz w:val="20"/>
        </w:rPr>
      </w:pPr>
      <w:r>
        <w:rPr>
          <w:sz w:val="20"/>
        </w:rPr>
      </w:r>
      <w:r>
        <w:rPr>
          <w:sz w:val="20"/>
        </w:rPr>
        <w:pict w14:anchorId="1231010B">
          <v:group id="docshapegroup32" o:spid="_x0000_s1026" alt="" style="width:254.25pt;height:34.85pt;mso-position-horizontal-relative:char;mso-position-vertical-relative:line" coordsize="5085,697">
            <v:shape id="docshape33" o:spid="_x0000_s1027" alt="" style="position:absolute;left:10;top:10;width:5065;height:677" coordorigin="10,10" coordsize="5065,677" path="m67,10l45,14,27,27,14,45,10,67r,563l14,652r13,18l45,682r22,4l5017,686r22,-4l5057,670r13,-18l5074,630r,-563l5070,45,5057,27,5039,14r-22,-4l67,10xe" filled="f" strokecolor="#49266c" strokeweight="1pt">
              <v:path arrowok="t"/>
            </v:shape>
            <v:shape id="docshape34" o:spid="_x0000_s1028" type="#_x0000_t202" alt="" style="position:absolute;left:37;top:32;width:5010;height:632;mso-wrap-style:square;v-text-anchor:top" filled="f" stroked="f">
              <v:textbox inset="0,0,0,0">
                <w:txbxContent>
                  <w:p w14:paraId="43CC8883" w14:textId="77777777" w:rsidR="0092721B" w:rsidRDefault="00D22738">
                    <w:pPr>
                      <w:spacing w:before="44" w:line="249" w:lineRule="auto"/>
                      <w:ind w:left="39" w:right="37"/>
                      <w:jc w:val="both"/>
                      <w:rPr>
                        <w:sz w:val="16"/>
                      </w:rPr>
                    </w:pPr>
                    <w:r>
                      <w:rPr>
                        <w:b/>
                        <w:w w:val="80"/>
                        <w:sz w:val="17"/>
                      </w:rPr>
                      <w:t>この論文を引用するには</w:t>
                    </w:r>
                    <w:r>
                      <w:rPr>
                        <w:w w:val="80"/>
                        <w:sz w:val="16"/>
                      </w:rPr>
                      <w:t>Carrione E, Bolano Gomez B, Andrade Yohanny, Callisperis Patricia and Suxo Ana, et al. "Determination of the Effectiveness of Chlorine Dioxide in the Treatment of COVID 19.".J Mol Genet Med 15(2021):S2</w:t>
                    </w:r>
                  </w:p>
                </w:txbxContent>
              </v:textbox>
            </v:shape>
            <w10:anchorlock/>
          </v:group>
        </w:pict>
      </w:r>
    </w:p>
    <w:sectPr w:rsidR="0092721B">
      <w:type w:val="continuous"/>
      <w:pgSz w:w="11910" w:h="16840"/>
      <w:pgMar w:top="760" w:right="440" w:bottom="280" w:left="720" w:header="814" w:footer="6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8CC6D" w14:textId="77777777" w:rsidR="008834D1" w:rsidRDefault="008834D1">
      <w:r>
        <w:separator/>
      </w:r>
    </w:p>
  </w:endnote>
  <w:endnote w:type="continuationSeparator" w:id="0">
    <w:p w14:paraId="1300A067" w14:textId="77777777" w:rsidR="008834D1" w:rsidRDefault="0088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BoldItalicMT">
    <w:altName w:val="Arial"/>
    <w:panose1 w:val="020B0604020202020204"/>
    <w:charset w:val="00"/>
    <w:family w:val="swiss"/>
    <w:pitch w:val="variable"/>
  </w:font>
  <w:font w:name="Minion Pro">
    <w:altName w:val="Minion Pro"/>
    <w:panose1 w:val="02040503050306020203"/>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55E4" w14:textId="77777777" w:rsidR="0092721B" w:rsidRDefault="008834D1">
    <w:pPr>
      <w:pStyle w:val="a3"/>
      <w:spacing w:line="14" w:lineRule="auto"/>
      <w:ind w:left="0" w:firstLine="0"/>
      <w:jc w:val="left"/>
      <w:rPr>
        <w:sz w:val="20"/>
      </w:rPr>
    </w:pPr>
    <w:r>
      <w:pict w14:anchorId="4CFC4D17">
        <v:rect id="docshape12" o:spid="_x0000_s2050" alt="" style="position:absolute;margin-left:0;margin-top:797.25pt;width:91.55pt;height:16.3pt;z-index:-16269824;mso-wrap-edited:f;mso-width-percent:0;mso-height-percent:0;mso-position-horizontal-relative:page;mso-position-vertical-relative:page;mso-width-percent:0;mso-height-percent:0" fillcolor="#49266c" stroked="f">
          <w10:wrap anchorx="page" anchory="page"/>
        </v:rect>
      </w:pict>
    </w:r>
    <w:r>
      <w:pict w14:anchorId="06645364">
        <v:shapetype id="_x0000_t202" coordsize="21600,21600" o:spt="202" path="m,l,21600r21600,l21600,xe">
          <v:stroke joinstyle="miter"/>
          <v:path gradientshapeok="t" o:connecttype="rect"/>
        </v:shapetype>
        <v:shape id="docshape13" o:spid="_x0000_s2049" type="#_x0000_t202" alt="" style="position:absolute;margin-left:41.65pt;margin-top:799.35pt;width:43.85pt;height:12.1pt;z-index:-16269312;mso-wrap-style:square;mso-wrap-edited:f;mso-width-percent:0;mso-height-percent:0;mso-position-horizontal-relative:page;mso-position-vertical-relative:page;mso-width-percent:0;mso-height-percent:0;v-text-anchor:top" filled="f" stroked="f">
          <v:textbox inset="0,0,0,0">
            <w:txbxContent>
              <w:p w14:paraId="1CE437F5" w14:textId="77777777" w:rsidR="0092721B" w:rsidRDefault="00D22738">
                <w:pPr>
                  <w:spacing w:before="23"/>
                  <w:ind w:left="20"/>
                  <w:rPr>
                    <w:sz w:val="16"/>
                  </w:rPr>
                </w:pPr>
                <w:r>
                  <w:fldChar w:fldCharType="begin"/>
                </w:r>
                <w:r>
                  <w:rPr>
                    <w:color w:val="FFFFFF"/>
                    <w:w w:val="85"/>
                    <w:sz w:val="16"/>
                  </w:rPr>
                  <w:instrText xml:space="preserve"> PAGE </w:instrText>
                </w:r>
                <w:r>
                  <w:fldChar w:fldCharType="separate"/>
                </w:r>
                <w:r>
                  <w:t xml:space="preserve">10 </w:t>
                </w:r>
                <w:r>
                  <w:fldChar w:fldCharType="end"/>
                </w:r>
                <w:r>
                  <w:rPr>
                    <w:color w:val="FFFFFF"/>
                    <w:w w:val="85"/>
                    <w:sz w:val="16"/>
                  </w:rPr>
                  <w:t>/ 11ページ</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66174" w14:textId="77777777" w:rsidR="008834D1" w:rsidRDefault="008834D1">
      <w:r>
        <w:separator/>
      </w:r>
    </w:p>
  </w:footnote>
  <w:footnote w:type="continuationSeparator" w:id="0">
    <w:p w14:paraId="0F8E5260" w14:textId="77777777" w:rsidR="008834D1" w:rsidRDefault="00883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0B52A" w14:textId="77777777" w:rsidR="0092721B" w:rsidRDefault="008834D1">
    <w:pPr>
      <w:pStyle w:val="a3"/>
      <w:spacing w:line="14" w:lineRule="auto"/>
      <w:ind w:left="0" w:firstLine="0"/>
      <w:jc w:val="left"/>
      <w:rPr>
        <w:sz w:val="20"/>
      </w:rPr>
    </w:pPr>
    <w:r>
      <w:pict w14:anchorId="307D0480">
        <v:line id="_x0000_s2053" alt="" style="position:absolute;z-index:-16271360;mso-wrap-edited:f;mso-width-percent:0;mso-height-percent:0;mso-position-horizontal-relative:page;mso-position-vertical-relative:page;mso-width-percent:0;mso-height-percent:0" from="42.45pt,54.2pt" to="566.45pt,54.2pt" strokecolor="#49266c" strokeweight=".5pt">
          <w10:wrap anchorx="page" anchory="page"/>
        </v:line>
      </w:pict>
    </w:r>
    <w:r>
      <w:pict w14:anchorId="0FE3B479">
        <v:shapetype id="_x0000_t202" coordsize="21600,21600" o:spt="202" path="m,l,21600r21600,l21600,xe">
          <v:stroke joinstyle="miter"/>
          <v:path gradientshapeok="t" o:connecttype="rect"/>
        </v:shapetype>
        <v:shape id="docshape10" o:spid="_x0000_s2052" type="#_x0000_t202" alt="" style="position:absolute;margin-left:41.5pt;margin-top:39.7pt;width:55.25pt;height:12.1pt;z-index:-16270848;mso-wrap-style:square;mso-wrap-edited:f;mso-width-percent:0;mso-height-percent:0;mso-position-horizontal-relative:page;mso-position-vertical-relative:page;mso-width-percent:0;mso-height-percent:0;v-text-anchor:top" filled="f" stroked="f">
          <v:textbox inset="0,0,0,0">
            <w:txbxContent>
              <w:p w14:paraId="76904AFB" w14:textId="77777777" w:rsidR="0092721B" w:rsidRDefault="00D22738">
                <w:pPr>
                  <w:spacing w:before="23"/>
                  <w:ind w:left="20"/>
                  <w:rPr>
                    <w:sz w:val="16"/>
                  </w:rPr>
                </w:pPr>
                <w:r>
                  <w:rPr>
                    <w:w w:val="80"/>
                    <w:sz w:val="16"/>
                  </w:rPr>
                  <w:t>Eduardo IC, et al.</w:t>
                </w:r>
              </w:p>
            </w:txbxContent>
          </v:textbox>
          <w10:wrap anchorx="page" anchory="page"/>
        </v:shape>
      </w:pict>
    </w:r>
    <w:r>
      <w:pict w14:anchorId="6A4AAC9D">
        <v:shape id="docshape11" o:spid="_x0000_s2051" type="#_x0000_t202" alt="" style="position:absolute;margin-left:449.15pt;margin-top:39.7pt;width:118.9pt;height:12.1pt;z-index:-16270336;mso-wrap-style:square;mso-wrap-edited:f;mso-width-percent:0;mso-height-percent:0;mso-position-horizontal-relative:page;mso-position-vertical-relative:page;mso-width-percent:0;mso-height-percent:0;v-text-anchor:top" filled="f" stroked="f">
          <v:textbox inset="0,0,0,0">
            <w:txbxContent>
              <w:p w14:paraId="51D020B2" w14:textId="77777777" w:rsidR="0092721B" w:rsidRDefault="00D22738">
                <w:pPr>
                  <w:spacing w:before="23"/>
                  <w:ind w:left="20"/>
                  <w:rPr>
                    <w:sz w:val="16"/>
                  </w:rPr>
                </w:pPr>
                <w:r>
                  <w:rPr>
                    <w:w w:val="80"/>
                    <w:sz w:val="16"/>
                  </w:rPr>
                  <w:t>J Mol Genet Med, Volume 15:S2, 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7D7677"/>
    <w:multiLevelType w:val="hybridMultilevel"/>
    <w:tmpl w:val="12DCC4C6"/>
    <w:lvl w:ilvl="0" w:tplc="7A28D61C">
      <w:start w:val="1"/>
      <w:numFmt w:val="decimal"/>
      <w:lvlText w:val="%1."/>
      <w:lvlJc w:val="left"/>
      <w:pPr>
        <w:ind w:left="413" w:hanging="284"/>
        <w:jc w:val="left"/>
      </w:pPr>
      <w:rPr>
        <w:rFonts w:ascii="Arial" w:eastAsia="Arial" w:hAnsi="Arial" w:cs="Arial" w:hint="default"/>
        <w:b w:val="0"/>
        <w:bCs w:val="0"/>
        <w:i w:val="0"/>
        <w:iCs w:val="0"/>
        <w:w w:val="82"/>
        <w:sz w:val="16"/>
        <w:szCs w:val="16"/>
        <w:lang w:val="en-US" w:eastAsia="en-US" w:bidi="ar-SA"/>
      </w:rPr>
    </w:lvl>
    <w:lvl w:ilvl="1" w:tplc="A08CC8C6">
      <w:numFmt w:val="bullet"/>
      <w:lvlText w:val="•"/>
      <w:lvlJc w:val="left"/>
      <w:pPr>
        <w:ind w:left="911" w:hanging="284"/>
      </w:pPr>
      <w:rPr>
        <w:rFonts w:hint="default"/>
        <w:lang w:val="en-US" w:eastAsia="en-US" w:bidi="ar-SA"/>
      </w:rPr>
    </w:lvl>
    <w:lvl w:ilvl="2" w:tplc="E924BB9E">
      <w:numFmt w:val="bullet"/>
      <w:lvlText w:val="•"/>
      <w:lvlJc w:val="left"/>
      <w:pPr>
        <w:ind w:left="1402" w:hanging="284"/>
      </w:pPr>
      <w:rPr>
        <w:rFonts w:hint="default"/>
        <w:lang w:val="en-US" w:eastAsia="en-US" w:bidi="ar-SA"/>
      </w:rPr>
    </w:lvl>
    <w:lvl w:ilvl="3" w:tplc="2E1AFDC4">
      <w:numFmt w:val="bullet"/>
      <w:lvlText w:val="•"/>
      <w:lvlJc w:val="left"/>
      <w:pPr>
        <w:ind w:left="1893" w:hanging="284"/>
      </w:pPr>
      <w:rPr>
        <w:rFonts w:hint="default"/>
        <w:lang w:val="en-US" w:eastAsia="en-US" w:bidi="ar-SA"/>
      </w:rPr>
    </w:lvl>
    <w:lvl w:ilvl="4" w:tplc="F6F83C00">
      <w:numFmt w:val="bullet"/>
      <w:lvlText w:val="•"/>
      <w:lvlJc w:val="left"/>
      <w:pPr>
        <w:ind w:left="2384" w:hanging="284"/>
      </w:pPr>
      <w:rPr>
        <w:rFonts w:hint="default"/>
        <w:lang w:val="en-US" w:eastAsia="en-US" w:bidi="ar-SA"/>
      </w:rPr>
    </w:lvl>
    <w:lvl w:ilvl="5" w:tplc="3E5A89BE">
      <w:numFmt w:val="bullet"/>
      <w:lvlText w:val="•"/>
      <w:lvlJc w:val="left"/>
      <w:pPr>
        <w:ind w:left="2875" w:hanging="284"/>
      </w:pPr>
      <w:rPr>
        <w:rFonts w:hint="default"/>
        <w:lang w:val="en-US" w:eastAsia="en-US" w:bidi="ar-SA"/>
      </w:rPr>
    </w:lvl>
    <w:lvl w:ilvl="6" w:tplc="BA6440AE">
      <w:numFmt w:val="bullet"/>
      <w:lvlText w:val="•"/>
      <w:lvlJc w:val="left"/>
      <w:pPr>
        <w:ind w:left="3366" w:hanging="284"/>
      </w:pPr>
      <w:rPr>
        <w:rFonts w:hint="default"/>
        <w:lang w:val="en-US" w:eastAsia="en-US" w:bidi="ar-SA"/>
      </w:rPr>
    </w:lvl>
    <w:lvl w:ilvl="7" w:tplc="D368C69E">
      <w:numFmt w:val="bullet"/>
      <w:lvlText w:val="•"/>
      <w:lvlJc w:val="left"/>
      <w:pPr>
        <w:ind w:left="3857" w:hanging="284"/>
      </w:pPr>
      <w:rPr>
        <w:rFonts w:hint="default"/>
        <w:lang w:val="en-US" w:eastAsia="en-US" w:bidi="ar-SA"/>
      </w:rPr>
    </w:lvl>
    <w:lvl w:ilvl="8" w:tplc="15BE9BAC">
      <w:numFmt w:val="bullet"/>
      <w:lvlText w:val="•"/>
      <w:lvlJc w:val="left"/>
      <w:pPr>
        <w:ind w:left="4349" w:hanging="284"/>
      </w:pPr>
      <w:rPr>
        <w:rFonts w:hint="default"/>
        <w:lang w:val="en-US" w:eastAsia="en-US" w:bidi="ar-SA"/>
      </w:rPr>
    </w:lvl>
  </w:abstractNum>
  <w:abstractNum w:abstractNumId="1" w15:restartNumberingAfterBreak="0">
    <w:nsid w:val="62F106D8"/>
    <w:multiLevelType w:val="hybridMultilevel"/>
    <w:tmpl w:val="77D47800"/>
    <w:lvl w:ilvl="0" w:tplc="3E0A940C">
      <w:numFmt w:val="bullet"/>
      <w:lvlText w:val="•"/>
      <w:lvlJc w:val="left"/>
      <w:pPr>
        <w:ind w:left="697" w:hanging="284"/>
      </w:pPr>
      <w:rPr>
        <w:rFonts w:ascii="Arial" w:eastAsia="Arial" w:hAnsi="Arial" w:cs="Arial" w:hint="default"/>
        <w:b w:val="0"/>
        <w:bCs w:val="0"/>
        <w:i w:val="0"/>
        <w:iCs w:val="0"/>
        <w:w w:val="81"/>
        <w:sz w:val="18"/>
        <w:szCs w:val="18"/>
        <w:lang w:val="en-US" w:eastAsia="en-US" w:bidi="ar-SA"/>
      </w:rPr>
    </w:lvl>
    <w:lvl w:ilvl="1" w:tplc="18303296">
      <w:numFmt w:val="bullet"/>
      <w:lvlText w:val="•"/>
      <w:lvlJc w:val="left"/>
      <w:pPr>
        <w:ind w:left="1163" w:hanging="284"/>
      </w:pPr>
      <w:rPr>
        <w:rFonts w:hint="default"/>
        <w:lang w:val="en-US" w:eastAsia="en-US" w:bidi="ar-SA"/>
      </w:rPr>
    </w:lvl>
    <w:lvl w:ilvl="2" w:tplc="17C4FAAA">
      <w:numFmt w:val="bullet"/>
      <w:lvlText w:val="•"/>
      <w:lvlJc w:val="left"/>
      <w:pPr>
        <w:ind w:left="1626" w:hanging="284"/>
      </w:pPr>
      <w:rPr>
        <w:rFonts w:hint="default"/>
        <w:lang w:val="en-US" w:eastAsia="en-US" w:bidi="ar-SA"/>
      </w:rPr>
    </w:lvl>
    <w:lvl w:ilvl="3" w:tplc="0EBEE3B6">
      <w:numFmt w:val="bullet"/>
      <w:lvlText w:val="•"/>
      <w:lvlJc w:val="left"/>
      <w:pPr>
        <w:ind w:left="2089" w:hanging="284"/>
      </w:pPr>
      <w:rPr>
        <w:rFonts w:hint="default"/>
        <w:lang w:val="en-US" w:eastAsia="en-US" w:bidi="ar-SA"/>
      </w:rPr>
    </w:lvl>
    <w:lvl w:ilvl="4" w:tplc="7D6AF352">
      <w:numFmt w:val="bullet"/>
      <w:lvlText w:val="•"/>
      <w:lvlJc w:val="left"/>
      <w:pPr>
        <w:ind w:left="2552" w:hanging="284"/>
      </w:pPr>
      <w:rPr>
        <w:rFonts w:hint="default"/>
        <w:lang w:val="en-US" w:eastAsia="en-US" w:bidi="ar-SA"/>
      </w:rPr>
    </w:lvl>
    <w:lvl w:ilvl="5" w:tplc="50E0091C">
      <w:numFmt w:val="bullet"/>
      <w:lvlText w:val="•"/>
      <w:lvlJc w:val="left"/>
      <w:pPr>
        <w:ind w:left="3015" w:hanging="284"/>
      </w:pPr>
      <w:rPr>
        <w:rFonts w:hint="default"/>
        <w:lang w:val="en-US" w:eastAsia="en-US" w:bidi="ar-SA"/>
      </w:rPr>
    </w:lvl>
    <w:lvl w:ilvl="6" w:tplc="DABAD4FA">
      <w:numFmt w:val="bullet"/>
      <w:lvlText w:val="•"/>
      <w:lvlJc w:val="left"/>
      <w:pPr>
        <w:ind w:left="3478" w:hanging="284"/>
      </w:pPr>
      <w:rPr>
        <w:rFonts w:hint="default"/>
        <w:lang w:val="en-US" w:eastAsia="en-US" w:bidi="ar-SA"/>
      </w:rPr>
    </w:lvl>
    <w:lvl w:ilvl="7" w:tplc="34BED210">
      <w:numFmt w:val="bullet"/>
      <w:lvlText w:val="•"/>
      <w:lvlJc w:val="left"/>
      <w:pPr>
        <w:ind w:left="3941" w:hanging="284"/>
      </w:pPr>
      <w:rPr>
        <w:rFonts w:hint="default"/>
        <w:lang w:val="en-US" w:eastAsia="en-US" w:bidi="ar-SA"/>
      </w:rPr>
    </w:lvl>
    <w:lvl w:ilvl="8" w:tplc="441EC8EC">
      <w:numFmt w:val="bullet"/>
      <w:lvlText w:val="•"/>
      <w:lvlJc w:val="left"/>
      <w:pPr>
        <w:ind w:left="4405" w:hanging="284"/>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defaultTabStop w:val="720"/>
  <w:drawingGridHorizontalSpacing w:val="110"/>
  <w:displayHorizontalDrawingGridEvery w:val="2"/>
  <w:characterSpacingControl w:val="doNotCompress"/>
  <w:hdrShapeDefaults>
    <o:shapedefaults v:ext="edit" spidmax="2054">
      <v:textbox inset="5.85pt,.7pt,5.85pt,.7pt"/>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2721B"/>
    <w:rsid w:val="00783F67"/>
    <w:rsid w:val="008834D1"/>
    <w:rsid w:val="0092721B"/>
    <w:rsid w:val="00CA38E4"/>
    <w:rsid w:val="00D22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1"/>
    </o:shapelayout>
  </w:shapeDefaults>
  <w:decimalSymbol w:val="."/>
  <w:listSeparator w:val=","/>
  <w14:docId w14:val="6C05F89F"/>
  <w15:docId w15:val="{F0F79AB5-C273-E94B-9634-27C13DCB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spacing w:before="6"/>
      <w:ind w:left="129"/>
      <w:jc w:val="both"/>
      <w:outlineLvl w:val="0"/>
    </w:pPr>
    <w:rPr>
      <w:b/>
      <w:bCs/>
      <w:sz w:val="31"/>
      <w:szCs w:val="31"/>
    </w:rPr>
  </w:style>
  <w:style w:type="paragraph" w:styleId="2">
    <w:name w:val="heading 2"/>
    <w:basedOn w:val="a"/>
    <w:uiPriority w:val="9"/>
    <w:unhideWhenUsed/>
    <w:qFormat/>
    <w:pPr>
      <w:spacing w:before="2"/>
      <w:ind w:left="130"/>
      <w:outlineLvl w:val="1"/>
    </w:pPr>
    <w:rPr>
      <w:b/>
      <w:bCs/>
      <w:sz w:val="30"/>
      <w:szCs w:val="30"/>
    </w:rPr>
  </w:style>
  <w:style w:type="paragraph" w:styleId="3">
    <w:name w:val="heading 3"/>
    <w:basedOn w:val="a"/>
    <w:uiPriority w:val="9"/>
    <w:unhideWhenUsed/>
    <w:qFormat/>
    <w:pPr>
      <w:spacing w:before="103"/>
      <w:ind w:left="130"/>
      <w:jc w:val="both"/>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0" w:firstLine="283"/>
      <w:jc w:val="both"/>
    </w:pPr>
    <w:rPr>
      <w:sz w:val="18"/>
      <w:szCs w:val="18"/>
    </w:rPr>
  </w:style>
  <w:style w:type="paragraph" w:styleId="a4">
    <w:name w:val="Title"/>
    <w:basedOn w:val="a"/>
    <w:uiPriority w:val="10"/>
    <w:qFormat/>
    <w:pPr>
      <w:spacing w:before="259"/>
      <w:ind w:left="130" w:right="396"/>
    </w:pPr>
    <w:rPr>
      <w:b/>
      <w:bCs/>
      <w:sz w:val="44"/>
      <w:szCs w:val="44"/>
    </w:rPr>
  </w:style>
  <w:style w:type="paragraph" w:styleId="a5">
    <w:name w:val="List Paragraph"/>
    <w:basedOn w:val="a"/>
    <w:uiPriority w:val="1"/>
    <w:qFormat/>
    <w:pPr>
      <w:spacing w:before="104"/>
      <w:ind w:left="413" w:right="124" w:hanging="284"/>
      <w:jc w:val="both"/>
    </w:pPr>
  </w:style>
  <w:style w:type="paragraph" w:customStyle="1" w:styleId="TableParagraph">
    <w:name w:val="Table Paragraph"/>
    <w:basedOn w:val="a"/>
    <w:uiPriority w:val="1"/>
    <w:qFormat/>
    <w:pPr>
      <w:spacing w:before="18"/>
      <w:jc w:val="center"/>
    </w:pPr>
  </w:style>
  <w:style w:type="character" w:styleId="a6">
    <w:name w:val="annotation reference"/>
    <w:basedOn w:val="a0"/>
    <w:uiPriority w:val="99"/>
    <w:semiHidden/>
    <w:unhideWhenUsed/>
    <w:rsid w:val="00783F67"/>
    <w:rPr>
      <w:sz w:val="18"/>
      <w:szCs w:val="18"/>
    </w:rPr>
  </w:style>
  <w:style w:type="paragraph" w:styleId="a7">
    <w:name w:val="annotation text"/>
    <w:basedOn w:val="a"/>
    <w:link w:val="a8"/>
    <w:uiPriority w:val="99"/>
    <w:semiHidden/>
    <w:unhideWhenUsed/>
    <w:rsid w:val="00783F67"/>
  </w:style>
  <w:style w:type="character" w:customStyle="1" w:styleId="a8">
    <w:name w:val="コメント文字列 (文字)"/>
    <w:basedOn w:val="a0"/>
    <w:link w:val="a7"/>
    <w:uiPriority w:val="99"/>
    <w:semiHidden/>
    <w:rsid w:val="00783F67"/>
    <w:rPr>
      <w:rFonts w:ascii="Arial" w:eastAsia="Arial" w:hAnsi="Arial" w:cs="Arial"/>
    </w:rPr>
  </w:style>
  <w:style w:type="paragraph" w:styleId="a9">
    <w:name w:val="annotation subject"/>
    <w:basedOn w:val="a7"/>
    <w:next w:val="a7"/>
    <w:link w:val="aa"/>
    <w:uiPriority w:val="99"/>
    <w:semiHidden/>
    <w:unhideWhenUsed/>
    <w:rsid w:val="00783F67"/>
    <w:rPr>
      <w:b/>
      <w:bCs/>
    </w:rPr>
  </w:style>
  <w:style w:type="character" w:customStyle="1" w:styleId="aa">
    <w:name w:val="コメント内容 (文字)"/>
    <w:basedOn w:val="a8"/>
    <w:link w:val="a9"/>
    <w:uiPriority w:val="99"/>
    <w:semiHidden/>
    <w:rsid w:val="00783F67"/>
    <w:rPr>
      <w:rFonts w:ascii="Arial" w:eastAsia="Arial" w:hAnsi="Arial" w:cs="Arial"/>
      <w:b/>
      <w:bCs/>
    </w:rPr>
  </w:style>
  <w:style w:type="paragraph" w:styleId="ab">
    <w:name w:val="Revision"/>
    <w:hidden/>
    <w:uiPriority w:val="99"/>
    <w:semiHidden/>
    <w:rsid w:val="00783F67"/>
    <w:pPr>
      <w:widowControl/>
      <w:autoSpaceDE/>
      <w:autoSpaceDN/>
    </w:pPr>
    <w:rPr>
      <w:rFonts w:ascii="Arial" w:eastAsia="Arial" w:hAnsi="Arial" w:cs="Arial"/>
    </w:rPr>
  </w:style>
  <w:style w:type="character" w:styleId="ac">
    <w:name w:val="Hyperlink"/>
    <w:basedOn w:val="a0"/>
    <w:uiPriority w:val="99"/>
    <w:unhideWhenUsed/>
    <w:rsid w:val="00783F67"/>
    <w:rPr>
      <w:color w:val="0000FF" w:themeColor="hyperlink"/>
      <w:u w:val="single"/>
    </w:rPr>
  </w:style>
  <w:style w:type="character" w:styleId="ad">
    <w:name w:val="Unresolved Mention"/>
    <w:basedOn w:val="a0"/>
    <w:uiPriority w:val="99"/>
    <w:semiHidden/>
    <w:unhideWhenUsed/>
    <w:rsid w:val="00783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www.clinicaltrials.gov/" TargetMode="External"/><Relationship Id="rId39" Type="http://schemas.openxmlformats.org/officeDocument/2006/relationships/hyperlink" Target="https://cfpub.epa.gov/ncea/iris/iris_documents/documents/toxreviews/0648tr.pdf" TargetMode="External"/><Relationship Id="rId21" Type="http://schemas.openxmlformats.org/officeDocument/2006/relationships/hyperlink" Target="https://clinicaltrials.gov/ct2/show/NCT0434374" TargetMode="External"/><Relationship Id="rId34" Type="http://schemas.openxmlformats.org/officeDocument/2006/relationships/hyperlink" Target="https://www.naturalnews.com/2020-05-18-researchers-claim-100-percent-cure-rate-vs-covid-19-ecuador-intravenous-chlorine-dioxide.html" TargetMode="External"/><Relationship Id="rId42" Type="http://schemas.openxmlformats.org/officeDocument/2006/relationships/hyperlink" Target="https://www.epa.gov/pesticide-registration/list-n-disinfectants-coronavirus-covid-19" TargetMode="External"/><Relationship Id="rId47" Type="http://schemas.openxmlformats.org/officeDocument/2006/relationships/hyperlink" Target="https://www.who.int/docs/default-source/coronaviruse/situation-reports/20200522-covid-19-sitrep" TargetMode="External"/><Relationship Id="rId50" Type="http://schemas.openxmlformats.org/officeDocument/2006/relationships/theme" Target="theme/theme1.xml"/><Relationship Id="rId7" Type="http://schemas.openxmlformats.org/officeDocument/2006/relationships/hyperlink" Target="https://www.hilarispublisher.com/abstract/determination-of-the-effectiveness-of-chlorine-dioxide-in-the-treatment-of-covid-19-67319.html" TargetMode="External"/><Relationship Id="rId2" Type="http://schemas.openxmlformats.org/officeDocument/2006/relationships/styles" Target="styles.xml"/><Relationship Id="rId16" Type="http://schemas.openxmlformats.org/officeDocument/2006/relationships/hyperlink" Target="https://elpais.com/elpais/2020/03/06/ciencia/1583515780_532983.html" TargetMode="External"/><Relationship Id="rId29" Type="http://schemas.openxmlformats.org/officeDocument/2006/relationships/image" Target="media/image7.png"/><Relationship Id="rId11" Type="http://schemas.openxmlformats.org/officeDocument/2006/relationships/hyperlink" Target="mailto:eic@lvwg.org" TargetMode="External"/><Relationship Id="rId24" Type="http://schemas.openxmlformats.org/officeDocument/2006/relationships/hyperlink" Target="https://www.covid19.onl/country/bolivia" TargetMode="External"/><Relationship Id="rId32" Type="http://schemas.openxmlformats.org/officeDocument/2006/relationships/image" Target="media/image10.jpeg"/><Relationship Id="rId37" Type="http://schemas.openxmlformats.org/officeDocument/2006/relationships/hyperlink" Target="https://www.cdc.gov/niosh/idlh/10049044.html" TargetMode="External"/><Relationship Id="rId40" Type="http://schemas.openxmlformats.org/officeDocument/2006/relationships/hyperlink" Target="https://www3.epa.gov/pesticides/chem_search/ppls/074986-00001-20040414.pdf" TargetMode="External"/><Relationship Id="rId45" Type="http://schemas.openxmlformats.org/officeDocument/2006/relationships/hyperlink" Target="https://www.who.int/emergencies/diseases/novel-coronavirus-2019/events-as-they-happen" TargetMode="External"/><Relationship Id="rId5" Type="http://schemas.openxmlformats.org/officeDocument/2006/relationships/footnotes" Target="footnotes.xml"/><Relationship Id="rId15" Type="http://schemas.openxmlformats.org/officeDocument/2006/relationships/hyperlink" Target="https://es.wikipedia.org/wiki/Radical_(qu%C3%ADmica)" TargetMode="External"/><Relationship Id="rId23" Type="http://schemas.openxmlformats.org/officeDocument/2006/relationships/hyperlink" Target="https://snis.minsalud.gob.bo/" TargetMode="External"/><Relationship Id="rId28" Type="http://schemas.openxmlformats.org/officeDocument/2006/relationships/image" Target="media/image6.png"/><Relationship Id="rId36" Type="http://schemas.openxmlformats.org/officeDocument/2006/relationships/hyperlink" Target="http://www.vyphidroasesores.com/" TargetMode="External"/><Relationship Id="rId49" Type="http://schemas.openxmlformats.org/officeDocument/2006/relationships/fontTable" Target="fontTable.xml"/><Relationship Id="rId10" Type="http://schemas.openxmlformats.org/officeDocument/2006/relationships/hyperlink" Target="mailto:eduardoinsignarescarrione@gmail.com" TargetMode="External"/><Relationship Id="rId19"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hyperlink" Target="https://www.who.int/emergencies/diseases/novel-coronavirus-2019/events-as-they-happen" TargetMode="External"/><Relationship Id="rId4" Type="http://schemas.openxmlformats.org/officeDocument/2006/relationships/webSettings" Target="webSettings.xml"/><Relationship Id="rId9" Type="http://schemas.openxmlformats.org/officeDocument/2006/relationships/hyperlink" Target="https://orcid.org/0000-0001-9337-0884" TargetMode="External"/><Relationship Id="rId14" Type="http://schemas.openxmlformats.org/officeDocument/2006/relationships/hyperlink" Target="https://www.vyphidroasesores.com/" TargetMode="External"/><Relationship Id="rId22" Type="http://schemas.openxmlformats.org/officeDocument/2006/relationships/hyperlink" Target="https://clinicaltrials.gov/ct2/show/NCT0434374" TargetMode="External"/><Relationship Id="rId27" Type="http://schemas.openxmlformats.org/officeDocument/2006/relationships/hyperlink" Target="http://www.cl02.com/" TargetMode="External"/><Relationship Id="rId30" Type="http://schemas.openxmlformats.org/officeDocument/2006/relationships/image" Target="media/image8.png"/><Relationship Id="rId35" Type="http://schemas.openxmlformats.org/officeDocument/2006/relationships/hyperlink" Target="http://www.atsdr.cdc.gov/ToxProfiles/tp160-c1-b.pdf" TargetMode="External"/><Relationship Id="rId43" Type="http://schemas.openxmlformats.org/officeDocument/2006/relationships/hyperlink" Target="http://www.accessdata.fda.gov/scripts/cdrh/cfdocs/cfcfr/cfrsearch.cfm?fr=173.300" TargetMode="External"/><Relationship Id="rId48" Type="http://schemas.openxmlformats.org/officeDocument/2006/relationships/hyperlink" Target="http://www.who.int/substance_abuse/facts/en/" TargetMode="External"/><Relationship Id="rId8" Type="http://schemas.openxmlformats.org/officeDocument/2006/relationships/hyperlink" Target="https://www.hilarispublisher.com/abstract/determination-of-the-effectiveness-of-chlorine-dioxide-in-the-treatment-of-covid-19-67319.html"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hyperlink" Target="https://www.naturalnews.com/2020-05-18-researchers-claim-100-percent-cure-rate-vs-covid-19-ecuador-intravenous-chlorine-dioxide.html" TargetMode="External"/><Relationship Id="rId38" Type="http://schemas.openxmlformats.org/officeDocument/2006/relationships/hyperlink" Target="http://www.atsdr.cdc.gov/toxprofiles/tp160.pdf" TargetMode="External"/><Relationship Id="rId46" Type="http://schemas.openxmlformats.org/officeDocument/2006/relationships/hyperlink" Target="https://www.who.int/docs/default-source/coronaviruse/situation-reports/20200522-covid-19-sitrep" TargetMode="External"/><Relationship Id="rId20" Type="http://schemas.openxmlformats.org/officeDocument/2006/relationships/image" Target="media/image4.png"/><Relationship Id="rId41" Type="http://schemas.openxmlformats.org/officeDocument/2006/relationships/hyperlink" Target="https://iaspub.epa.gov/apex/pesticides/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5748</Words>
  <Characters>32767</Characters>
  <Application>Microsoft Office Word</Application>
  <DocSecurity>0</DocSecurity>
  <Lines>273</Lines>
  <Paragraphs>76</Paragraphs>
  <ScaleCrop>false</ScaleCrop>
  <Company/>
  <LinksUpToDate>false</LinksUpToDate>
  <CharactersWithSpaces>38439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Percutaneous Electrolysis in Patients with Musculoskeletal Disorders: A Systematic Review</dc:title>
  <dc:subject>Journal of Molecular and Genetic Medicine</dc:subject>
  <dc:creator>Varela-Rodríguez S</dc:creator>
  <cp:keywords>Musculoskeletal disorders • Musculoskeletal pain • Percutaneous electrolysis • Galvanic electrolysis • Electric stimulation therapy • Systematic review</cp:keywords>
  <cp:lastModifiedBy>R</cp:lastModifiedBy>
  <cp:revision>3</cp:revision>
  <dcterms:created xsi:type="dcterms:W3CDTF">2021-08-14T07:07:00Z</dcterms:created>
  <dcterms:modified xsi:type="dcterms:W3CDTF">2021-08-14T09:54:00Z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Adobe InDesign 15.1 (Windows)</vt:lpwstr>
  </property>
  <property fmtid="{D5CDD505-2E9C-101B-9397-08002B2CF9AE}" pid="4" name="LastSaved">
    <vt:filetime>2021-08-14T00:00:00Z</vt:filetime>
  </property>
</Properties>
</file>